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571501" w14:textId="7DAB8CD7" w:rsidR="004119CA" w:rsidRPr="007D28D6" w:rsidRDefault="00C07E50" w:rsidP="004C7C73">
      <w:pPr>
        <w:pStyle w:val="Heading3"/>
        <w:rPr>
          <w:rtl/>
        </w:rPr>
      </w:pPr>
      <w:r w:rsidRPr="007D28D6">
        <w:rPr>
          <w:rFonts w:hint="cs"/>
          <w:rtl/>
        </w:rPr>
        <w:t>فيديو لدراسة حالة:</w:t>
      </w:r>
      <w:r w:rsidRPr="007D28D6">
        <w:t xml:space="preserve"> </w:t>
      </w:r>
      <w:r w:rsidRPr="007D28D6">
        <w:rPr>
          <w:rtl/>
        </w:rPr>
        <w:t>استبيان</w:t>
      </w:r>
    </w:p>
    <w:p w14:paraId="73CDA5C5" w14:textId="72643888" w:rsidR="004119CA" w:rsidRPr="007D28D6" w:rsidRDefault="00C07E50" w:rsidP="00FC6CC5">
      <w:pPr>
        <w:pStyle w:val="ListParagraph"/>
        <w:numPr>
          <w:ilvl w:val="0"/>
          <w:numId w:val="23"/>
        </w:numPr>
        <w:ind w:left="357" w:hanging="357"/>
        <w:rPr>
          <w:rtl/>
        </w:rPr>
      </w:pPr>
      <w:r w:rsidRPr="007D28D6">
        <w:rPr>
          <w:rFonts w:hint="cs"/>
          <w:rtl/>
        </w:rPr>
        <w:t xml:space="preserve">ما هو القانون الذي أُقر في عام 2000؟ </w:t>
      </w:r>
    </w:p>
    <w:tbl>
      <w:tblPr>
        <w:tblW w:w="0" w:type="auto"/>
        <w:tblInd w:w="397" w:type="dxa"/>
        <w:tblBorders>
          <w:top w:val="single" w:sz="4" w:space="0" w:color="579305" w:themeColor="accent1"/>
          <w:left w:val="single" w:sz="4" w:space="0" w:color="579305" w:themeColor="accent1"/>
          <w:bottom w:val="single" w:sz="4" w:space="0" w:color="579305" w:themeColor="accent1"/>
          <w:right w:val="single" w:sz="4" w:space="0" w:color="579305" w:themeColor="accent1"/>
        </w:tblBorders>
        <w:tblLook w:val="04A0" w:firstRow="1" w:lastRow="0" w:firstColumn="1" w:lastColumn="0" w:noHBand="0" w:noVBand="1"/>
      </w:tblPr>
      <w:tblGrid>
        <w:gridCol w:w="9231"/>
      </w:tblGrid>
      <w:tr w:rsidR="00F620B9" w:rsidRPr="007D28D6" w14:paraId="1E415A1C" w14:textId="77777777" w:rsidTr="004C7C73">
        <w:trPr>
          <w:trHeight w:val="1418"/>
        </w:trPr>
        <w:tc>
          <w:tcPr>
            <w:tcW w:w="9628" w:type="dxa"/>
          </w:tcPr>
          <w:p w14:paraId="00141A4B" w14:textId="77777777" w:rsidR="00F620B9" w:rsidRPr="007D28D6" w:rsidRDefault="00F620B9" w:rsidP="007D28D6"/>
        </w:tc>
      </w:tr>
    </w:tbl>
    <w:p w14:paraId="47868F5C" w14:textId="30601DCE" w:rsidR="00F620B9" w:rsidRPr="007D28D6" w:rsidRDefault="00C07E50" w:rsidP="00FC6CC5">
      <w:pPr>
        <w:pStyle w:val="ListParagraph"/>
        <w:numPr>
          <w:ilvl w:val="0"/>
          <w:numId w:val="23"/>
        </w:numPr>
        <w:ind w:left="357" w:hanging="357"/>
      </w:pPr>
      <w:r w:rsidRPr="007D28D6">
        <w:rPr>
          <w:rFonts w:hint="cs"/>
          <w:rtl/>
        </w:rPr>
        <w:t xml:space="preserve">في أي مستوى من </w:t>
      </w:r>
      <w:r w:rsidR="005A4C74" w:rsidRPr="007D28D6">
        <w:rPr>
          <w:rFonts w:hint="cs"/>
          <w:rtl/>
        </w:rPr>
        <w:t>هيكل</w:t>
      </w:r>
      <w:r w:rsidRPr="007D28D6">
        <w:rPr>
          <w:rFonts w:hint="cs"/>
          <w:rtl/>
        </w:rPr>
        <w:t xml:space="preserve"> الحكومة تعمل مراكز عمليات الطوارئ؟</w:t>
      </w:r>
    </w:p>
    <w:tbl>
      <w:tblPr>
        <w:tblW w:w="0" w:type="auto"/>
        <w:tblInd w:w="397" w:type="dxa"/>
        <w:tblBorders>
          <w:top w:val="single" w:sz="4" w:space="0" w:color="579305" w:themeColor="accent1"/>
          <w:left w:val="single" w:sz="4" w:space="0" w:color="579305" w:themeColor="accent1"/>
          <w:bottom w:val="single" w:sz="4" w:space="0" w:color="579305" w:themeColor="accent1"/>
          <w:right w:val="single" w:sz="4" w:space="0" w:color="579305" w:themeColor="accent1"/>
        </w:tblBorders>
        <w:tblLook w:val="04A0" w:firstRow="1" w:lastRow="0" w:firstColumn="1" w:lastColumn="0" w:noHBand="0" w:noVBand="1"/>
      </w:tblPr>
      <w:tblGrid>
        <w:gridCol w:w="9231"/>
      </w:tblGrid>
      <w:tr w:rsidR="00F620B9" w:rsidRPr="00AC0B4B" w14:paraId="1BFDF9AF" w14:textId="77777777" w:rsidTr="004C7C73">
        <w:trPr>
          <w:trHeight w:val="1418"/>
        </w:trPr>
        <w:tc>
          <w:tcPr>
            <w:tcW w:w="9628" w:type="dxa"/>
          </w:tcPr>
          <w:p w14:paraId="1036A8FF" w14:textId="77777777" w:rsidR="00F620B9" w:rsidRPr="007D28D6" w:rsidRDefault="00F620B9" w:rsidP="007D28D6"/>
        </w:tc>
      </w:tr>
    </w:tbl>
    <w:p w14:paraId="7E4C42CB" w14:textId="6C7717B4" w:rsidR="00F620B9" w:rsidRPr="007D28D6" w:rsidRDefault="005A4C74" w:rsidP="00FC6CC5">
      <w:pPr>
        <w:pStyle w:val="ListParagraph"/>
        <w:numPr>
          <w:ilvl w:val="0"/>
          <w:numId w:val="23"/>
        </w:numPr>
        <w:ind w:left="357" w:hanging="357"/>
      </w:pPr>
      <w:r w:rsidRPr="007D28D6">
        <w:rPr>
          <w:rFonts w:hint="cs"/>
          <w:rtl/>
        </w:rPr>
        <w:t>ما هو</w:t>
      </w:r>
      <w:r w:rsidR="00C07E50" w:rsidRPr="007D28D6">
        <w:rPr>
          <w:rFonts w:hint="cs"/>
          <w:rtl/>
        </w:rPr>
        <w:t xml:space="preserve"> مستو</w:t>
      </w:r>
      <w:r w:rsidRPr="007D28D6">
        <w:rPr>
          <w:rFonts w:hint="cs"/>
          <w:rtl/>
        </w:rPr>
        <w:t xml:space="preserve">ى </w:t>
      </w:r>
      <w:r w:rsidR="00C07E50" w:rsidRPr="007D28D6">
        <w:rPr>
          <w:rFonts w:hint="cs"/>
          <w:rtl/>
        </w:rPr>
        <w:t>التنسيق الرئيسي؟</w:t>
      </w:r>
    </w:p>
    <w:tbl>
      <w:tblPr>
        <w:tblW w:w="0" w:type="auto"/>
        <w:tblInd w:w="397" w:type="dxa"/>
        <w:tblBorders>
          <w:top w:val="single" w:sz="4" w:space="0" w:color="579305" w:themeColor="accent1"/>
          <w:left w:val="single" w:sz="4" w:space="0" w:color="579305" w:themeColor="accent1"/>
          <w:bottom w:val="single" w:sz="4" w:space="0" w:color="579305" w:themeColor="accent1"/>
          <w:right w:val="single" w:sz="4" w:space="0" w:color="579305" w:themeColor="accent1"/>
        </w:tblBorders>
        <w:tblLook w:val="04A0" w:firstRow="1" w:lastRow="0" w:firstColumn="1" w:lastColumn="0" w:noHBand="0" w:noVBand="1"/>
      </w:tblPr>
      <w:tblGrid>
        <w:gridCol w:w="9231"/>
      </w:tblGrid>
      <w:tr w:rsidR="00F620B9" w:rsidRPr="007D28D6" w14:paraId="1EDDB644" w14:textId="77777777" w:rsidTr="004C7C73">
        <w:trPr>
          <w:trHeight w:val="1418"/>
        </w:trPr>
        <w:tc>
          <w:tcPr>
            <w:tcW w:w="9628" w:type="dxa"/>
          </w:tcPr>
          <w:p w14:paraId="4EAB5B63" w14:textId="77777777" w:rsidR="00F620B9" w:rsidRPr="007D28D6" w:rsidRDefault="00F620B9" w:rsidP="007D28D6"/>
        </w:tc>
      </w:tr>
    </w:tbl>
    <w:p w14:paraId="21612E83" w14:textId="66447CB5" w:rsidR="00F620B9" w:rsidRPr="007D28D6" w:rsidRDefault="00C07E50" w:rsidP="00FC6CC5">
      <w:pPr>
        <w:pStyle w:val="ListParagraph"/>
        <w:numPr>
          <w:ilvl w:val="0"/>
          <w:numId w:val="23"/>
        </w:numPr>
        <w:ind w:left="357" w:hanging="357"/>
      </w:pPr>
      <w:r w:rsidRPr="007D28D6">
        <w:rPr>
          <w:rFonts w:hint="cs"/>
          <w:rtl/>
        </w:rPr>
        <w:t xml:space="preserve">هل تم بناء </w:t>
      </w:r>
      <w:proofErr w:type="spellStart"/>
      <w:r w:rsidRPr="007D28D6">
        <w:rPr>
          <w:rFonts w:hint="cs"/>
          <w:rtl/>
        </w:rPr>
        <w:t>مآوي</w:t>
      </w:r>
      <w:proofErr w:type="spellEnd"/>
      <w:r w:rsidRPr="007D28D6">
        <w:rPr>
          <w:rFonts w:hint="cs"/>
          <w:rtl/>
        </w:rPr>
        <w:t xml:space="preserve"> الإجلاء قبل أم بعد الكارثة؟</w:t>
      </w:r>
      <w:r w:rsidR="00F620B9" w:rsidRPr="007D28D6">
        <w:t xml:space="preserve"> </w:t>
      </w:r>
    </w:p>
    <w:tbl>
      <w:tblPr>
        <w:tblW w:w="0" w:type="auto"/>
        <w:tblInd w:w="397" w:type="dxa"/>
        <w:tblBorders>
          <w:top w:val="single" w:sz="4" w:space="0" w:color="579305" w:themeColor="accent1"/>
          <w:left w:val="single" w:sz="4" w:space="0" w:color="579305" w:themeColor="accent1"/>
          <w:bottom w:val="single" w:sz="4" w:space="0" w:color="579305" w:themeColor="accent1"/>
          <w:right w:val="single" w:sz="4" w:space="0" w:color="579305" w:themeColor="accent1"/>
        </w:tblBorders>
        <w:tblLook w:val="04A0" w:firstRow="1" w:lastRow="0" w:firstColumn="1" w:lastColumn="0" w:noHBand="0" w:noVBand="1"/>
      </w:tblPr>
      <w:tblGrid>
        <w:gridCol w:w="9231"/>
      </w:tblGrid>
      <w:tr w:rsidR="00F620B9" w:rsidRPr="007D28D6" w14:paraId="093F1663" w14:textId="77777777" w:rsidTr="004C7C73">
        <w:trPr>
          <w:trHeight w:val="1418"/>
        </w:trPr>
        <w:tc>
          <w:tcPr>
            <w:tcW w:w="9628" w:type="dxa"/>
          </w:tcPr>
          <w:p w14:paraId="28420ED0" w14:textId="77777777" w:rsidR="00F620B9" w:rsidRPr="007D28D6" w:rsidRDefault="00F620B9" w:rsidP="007D28D6"/>
        </w:tc>
      </w:tr>
    </w:tbl>
    <w:p w14:paraId="3B923BCE" w14:textId="24B4597B" w:rsidR="00C07E50" w:rsidRPr="007D28D6" w:rsidRDefault="00C07E50" w:rsidP="00FC6CC5">
      <w:pPr>
        <w:pStyle w:val="ListParagraph"/>
        <w:numPr>
          <w:ilvl w:val="0"/>
          <w:numId w:val="23"/>
        </w:numPr>
        <w:ind w:left="357" w:hanging="357"/>
        <w:rPr>
          <w:rtl/>
        </w:rPr>
      </w:pPr>
      <w:r w:rsidRPr="007D28D6">
        <w:rPr>
          <w:rFonts w:hint="cs"/>
          <w:rtl/>
        </w:rPr>
        <w:t>ما هي المؤسسة التي لعبت دورا كبيراً في بناء قدرات السلطات الوطنية لتتمكن من الاستفادة من اسفير؟</w:t>
      </w:r>
    </w:p>
    <w:tbl>
      <w:tblPr>
        <w:tblW w:w="0" w:type="auto"/>
        <w:tblInd w:w="397" w:type="dxa"/>
        <w:tblBorders>
          <w:top w:val="single" w:sz="4" w:space="0" w:color="579305" w:themeColor="accent1"/>
          <w:left w:val="single" w:sz="4" w:space="0" w:color="579305" w:themeColor="accent1"/>
          <w:bottom w:val="single" w:sz="4" w:space="0" w:color="579305" w:themeColor="accent1"/>
          <w:right w:val="single" w:sz="4" w:space="0" w:color="579305" w:themeColor="accent1"/>
        </w:tblBorders>
        <w:tblLook w:val="04A0" w:firstRow="1" w:lastRow="0" w:firstColumn="1" w:lastColumn="0" w:noHBand="0" w:noVBand="1"/>
      </w:tblPr>
      <w:tblGrid>
        <w:gridCol w:w="9231"/>
      </w:tblGrid>
      <w:tr w:rsidR="00F620B9" w:rsidRPr="007D28D6" w14:paraId="192674A2" w14:textId="77777777" w:rsidTr="00FC6CC5">
        <w:trPr>
          <w:trHeight w:val="1418"/>
        </w:trPr>
        <w:tc>
          <w:tcPr>
            <w:tcW w:w="9628" w:type="dxa"/>
          </w:tcPr>
          <w:p w14:paraId="1D27C111" w14:textId="77777777" w:rsidR="00F620B9" w:rsidRPr="007D28D6" w:rsidRDefault="00F620B9" w:rsidP="007D28D6"/>
        </w:tc>
      </w:tr>
    </w:tbl>
    <w:p w14:paraId="22F7F402" w14:textId="77777777" w:rsidR="00F620B9" w:rsidRPr="007D28D6" w:rsidRDefault="00F620B9" w:rsidP="007D28D6"/>
    <w:p w14:paraId="6E2A8E95" w14:textId="77777777" w:rsidR="004C7C73" w:rsidRDefault="004C7C73" w:rsidP="004C7C73">
      <w:pPr>
        <w:pStyle w:val="Heading3"/>
        <w:rPr>
          <w:rtl/>
        </w:rPr>
      </w:pPr>
      <w:r>
        <w:rPr>
          <w:rtl/>
        </w:rPr>
        <w:br w:type="page"/>
      </w:r>
    </w:p>
    <w:p w14:paraId="1325AB71" w14:textId="46C84DF6" w:rsidR="00C07E50" w:rsidRPr="007D28D6" w:rsidRDefault="00C07E50" w:rsidP="004C7C73">
      <w:pPr>
        <w:pStyle w:val="Heading3"/>
        <w:rPr>
          <w:rtl/>
        </w:rPr>
      </w:pPr>
      <w:r w:rsidRPr="007D28D6">
        <w:rPr>
          <w:rFonts w:hint="cs"/>
          <w:rtl/>
        </w:rPr>
        <w:lastRenderedPageBreak/>
        <w:t>فيديو لدراسة حالة:</w:t>
      </w:r>
      <w:r w:rsidR="00AC0B4B">
        <w:rPr>
          <w:lang w:val="en-US"/>
        </w:rPr>
        <w:t xml:space="preserve"> </w:t>
      </w:r>
      <w:r w:rsidRPr="007D28D6">
        <w:rPr>
          <w:rFonts w:hint="cs"/>
          <w:rtl/>
        </w:rPr>
        <w:t>استبيان مع إجابات</w:t>
      </w:r>
    </w:p>
    <w:p w14:paraId="7CDE74F8" w14:textId="77777777" w:rsidR="007D28D6" w:rsidRDefault="00C07E50" w:rsidP="00FC6CC5">
      <w:pPr>
        <w:pStyle w:val="ListParagraph"/>
        <w:numPr>
          <w:ilvl w:val="0"/>
          <w:numId w:val="24"/>
        </w:numPr>
        <w:ind w:left="357" w:hanging="357"/>
        <w:rPr>
          <w:rtl/>
        </w:rPr>
      </w:pPr>
      <w:r w:rsidRPr="007D28D6">
        <w:rPr>
          <w:rFonts w:hint="cs"/>
          <w:rtl/>
        </w:rPr>
        <w:t>ما هو القانون الذي أُقر في عام 2000؟</w:t>
      </w:r>
    </w:p>
    <w:p w14:paraId="744B0ED5" w14:textId="429FC79E" w:rsidR="007D28D6" w:rsidRPr="00FC6CC5" w:rsidRDefault="005A4C74" w:rsidP="007D28D6">
      <w:pPr>
        <w:rPr>
          <w:i/>
          <w:iCs/>
          <w:rtl/>
        </w:rPr>
      </w:pPr>
      <w:r w:rsidRPr="00FC6CC5">
        <w:rPr>
          <w:rFonts w:hint="cs"/>
          <w:i/>
          <w:iCs/>
          <w:rtl/>
        </w:rPr>
        <w:t>قانون</w:t>
      </w:r>
      <w:r w:rsidR="00563DAB" w:rsidRPr="00FC6CC5">
        <w:rPr>
          <w:rFonts w:hint="cs"/>
          <w:i/>
          <w:iCs/>
          <w:rtl/>
        </w:rPr>
        <w:t xml:space="preserve"> الحد من </w:t>
      </w:r>
      <w:r w:rsidR="00AC0B4B" w:rsidRPr="00FC6CC5">
        <w:rPr>
          <w:rFonts w:hint="cs"/>
          <w:i/>
          <w:iCs/>
          <w:rtl/>
        </w:rPr>
        <w:t>مخاطر الكوارث</w:t>
      </w:r>
      <w:r w:rsidR="00563DAB" w:rsidRPr="00FC6CC5">
        <w:rPr>
          <w:rFonts w:hint="cs"/>
          <w:i/>
          <w:iCs/>
          <w:rtl/>
        </w:rPr>
        <w:t xml:space="preserve"> الطبيعية </w:t>
      </w:r>
      <w:r w:rsidRPr="00FC6CC5">
        <w:rPr>
          <w:rFonts w:hint="cs"/>
          <w:i/>
          <w:iCs/>
          <w:rtl/>
        </w:rPr>
        <w:t>والتأهب</w:t>
      </w:r>
      <w:r w:rsidR="00563DAB" w:rsidRPr="00FC6CC5">
        <w:rPr>
          <w:rFonts w:hint="cs"/>
          <w:i/>
          <w:iCs/>
          <w:rtl/>
        </w:rPr>
        <w:t xml:space="preserve"> لها</w:t>
      </w:r>
      <w:r w:rsidRPr="00FC6CC5">
        <w:rPr>
          <w:rFonts w:hint="cs"/>
          <w:i/>
          <w:iCs/>
          <w:rtl/>
        </w:rPr>
        <w:t>.</w:t>
      </w:r>
    </w:p>
    <w:p w14:paraId="71E3E57D" w14:textId="5A6BCAAC" w:rsidR="005A4C74" w:rsidRPr="007D28D6" w:rsidRDefault="005A4C74" w:rsidP="00FC6CC5">
      <w:pPr>
        <w:pStyle w:val="ListParagraph"/>
        <w:numPr>
          <w:ilvl w:val="0"/>
          <w:numId w:val="24"/>
        </w:numPr>
        <w:spacing w:before="320"/>
        <w:ind w:left="357" w:hanging="357"/>
      </w:pPr>
      <w:r w:rsidRPr="007D28D6">
        <w:rPr>
          <w:rFonts w:hint="cs"/>
          <w:rtl/>
        </w:rPr>
        <w:t>في أي مستوى من هيكل الحكومة تعمل مراكز عمليات الطوارئ؟</w:t>
      </w:r>
    </w:p>
    <w:p w14:paraId="504CBADB" w14:textId="22C5F432" w:rsidR="007D28D6" w:rsidRPr="00FC6CC5" w:rsidRDefault="005A4C74" w:rsidP="007D28D6">
      <w:pPr>
        <w:rPr>
          <w:i/>
          <w:iCs/>
          <w:rtl/>
        </w:rPr>
      </w:pPr>
      <w:r w:rsidRPr="00FC6CC5">
        <w:rPr>
          <w:rFonts w:hint="cs"/>
          <w:i/>
          <w:iCs/>
          <w:rtl/>
        </w:rPr>
        <w:t>مستوى البل</w:t>
      </w:r>
      <w:r w:rsidR="00AC0B4B">
        <w:rPr>
          <w:rFonts w:hint="cs"/>
          <w:i/>
          <w:iCs/>
          <w:rtl/>
        </w:rPr>
        <w:t>ديات، والوزارات والمستوى الوطني</w:t>
      </w:r>
      <w:r w:rsidRPr="00FC6CC5">
        <w:rPr>
          <w:rFonts w:hint="cs"/>
          <w:i/>
          <w:iCs/>
          <w:rtl/>
        </w:rPr>
        <w:t>.</w:t>
      </w:r>
    </w:p>
    <w:p w14:paraId="3708BF31" w14:textId="19D68EE2" w:rsidR="005A4C74" w:rsidRPr="007D28D6" w:rsidRDefault="005A4C74" w:rsidP="00FC6CC5">
      <w:pPr>
        <w:pStyle w:val="ListParagraph"/>
        <w:numPr>
          <w:ilvl w:val="0"/>
          <w:numId w:val="24"/>
        </w:numPr>
        <w:spacing w:before="320"/>
        <w:ind w:left="357" w:hanging="357"/>
      </w:pPr>
      <w:r w:rsidRPr="007D28D6">
        <w:rPr>
          <w:rFonts w:hint="cs"/>
          <w:rtl/>
        </w:rPr>
        <w:t>ما هو مستوى التنسيق الرئيسي؟</w:t>
      </w:r>
    </w:p>
    <w:p w14:paraId="3C9661D8" w14:textId="77777777" w:rsidR="007D28D6" w:rsidRPr="00FC6CC5" w:rsidRDefault="005A4C74" w:rsidP="007D28D6">
      <w:pPr>
        <w:rPr>
          <w:i/>
          <w:iCs/>
        </w:rPr>
      </w:pPr>
      <w:r w:rsidRPr="00FC6CC5">
        <w:rPr>
          <w:rFonts w:hint="cs"/>
          <w:i/>
          <w:iCs/>
          <w:rtl/>
        </w:rPr>
        <w:t>التنسيق على أعلى مستوى هو الرئيسي.</w:t>
      </w:r>
    </w:p>
    <w:p w14:paraId="40131490" w14:textId="64EDC18C" w:rsidR="005A4C74" w:rsidRPr="007D28D6" w:rsidRDefault="005A4C74" w:rsidP="00FC6CC5">
      <w:pPr>
        <w:pStyle w:val="ListParagraph"/>
        <w:numPr>
          <w:ilvl w:val="0"/>
          <w:numId w:val="24"/>
        </w:numPr>
        <w:spacing w:before="320"/>
        <w:ind w:left="357" w:hanging="357"/>
      </w:pPr>
      <w:r w:rsidRPr="007D28D6">
        <w:rPr>
          <w:rFonts w:hint="cs"/>
          <w:rtl/>
        </w:rPr>
        <w:t xml:space="preserve">هل تم بناء </w:t>
      </w:r>
      <w:proofErr w:type="spellStart"/>
      <w:r w:rsidRPr="007D28D6">
        <w:rPr>
          <w:rFonts w:hint="cs"/>
          <w:rtl/>
        </w:rPr>
        <w:t>مآوي</w:t>
      </w:r>
      <w:proofErr w:type="spellEnd"/>
      <w:r w:rsidRPr="007D28D6">
        <w:rPr>
          <w:rFonts w:hint="cs"/>
          <w:rtl/>
        </w:rPr>
        <w:t xml:space="preserve"> الإجلاء قبل أم بعد الكارثة؟</w:t>
      </w:r>
    </w:p>
    <w:p w14:paraId="269F33B8" w14:textId="77777777" w:rsidR="007D28D6" w:rsidRPr="00FC6CC5" w:rsidRDefault="009C632B" w:rsidP="007D28D6">
      <w:pPr>
        <w:rPr>
          <w:i/>
          <w:iCs/>
          <w:rtl/>
        </w:rPr>
      </w:pPr>
      <w:r w:rsidRPr="00FC6CC5">
        <w:rPr>
          <w:rFonts w:hint="cs"/>
          <w:i/>
          <w:iCs/>
          <w:rtl/>
        </w:rPr>
        <w:t>قبل الانهيار الأرضي، وباستخدام المعايير الدنيا في دليل اسفير.</w:t>
      </w:r>
    </w:p>
    <w:p w14:paraId="39CF1C9E" w14:textId="7F4ED675" w:rsidR="00C07E50" w:rsidRPr="007D28D6" w:rsidRDefault="00C07E50" w:rsidP="00FC6CC5">
      <w:pPr>
        <w:pStyle w:val="ListParagraph"/>
        <w:numPr>
          <w:ilvl w:val="0"/>
          <w:numId w:val="24"/>
        </w:numPr>
        <w:spacing w:before="320"/>
        <w:ind w:left="357" w:hanging="357"/>
        <w:rPr>
          <w:rtl/>
        </w:rPr>
      </w:pPr>
      <w:r w:rsidRPr="007D28D6">
        <w:rPr>
          <w:rFonts w:hint="cs"/>
          <w:rtl/>
        </w:rPr>
        <w:t>ما هي المؤسسة التي لعبت دورا كبيراً في بناء قدرات السلطات الوطنية لتتمكن من الاستفادة من اسفير؟</w:t>
      </w:r>
    </w:p>
    <w:p w14:paraId="5F22EDA9" w14:textId="77777777" w:rsidR="007D28D6" w:rsidRPr="00FC6CC5" w:rsidRDefault="009C632B" w:rsidP="007D28D6">
      <w:pPr>
        <w:rPr>
          <w:i/>
          <w:iCs/>
          <w:rtl/>
        </w:rPr>
      </w:pPr>
      <w:r w:rsidRPr="00FC6CC5">
        <w:rPr>
          <w:rFonts w:hint="cs"/>
          <w:i/>
          <w:iCs/>
          <w:rtl/>
        </w:rPr>
        <w:t>الجامعات</w:t>
      </w:r>
    </w:p>
    <w:p w14:paraId="730F0605" w14:textId="77777777" w:rsidR="00FC6CC5" w:rsidRDefault="00FC6CC5" w:rsidP="00FC6CC5">
      <w:pPr>
        <w:pStyle w:val="Heading3"/>
        <w:rPr>
          <w:rtl/>
        </w:rPr>
      </w:pPr>
      <w:r>
        <w:rPr>
          <w:rtl/>
        </w:rPr>
        <w:br w:type="page"/>
      </w:r>
    </w:p>
    <w:p w14:paraId="64ACB121" w14:textId="5592929A" w:rsidR="004119CA" w:rsidRPr="007D28D6" w:rsidRDefault="009C632B" w:rsidP="002333D3">
      <w:pPr>
        <w:pStyle w:val="Heading3"/>
        <w:spacing w:after="80"/>
      </w:pPr>
      <w:r w:rsidRPr="007D28D6">
        <w:rPr>
          <w:rFonts w:hint="cs"/>
          <w:rtl/>
        </w:rPr>
        <w:lastRenderedPageBreak/>
        <w:t>الفرص والتحديات التي تواجه استخدام اسفير مع السلطات الوطنية</w:t>
      </w:r>
    </w:p>
    <w:tbl>
      <w:tblPr>
        <w:tblW w:w="0" w:type="auto"/>
        <w:tblBorders>
          <w:top w:val="dashed" w:sz="4" w:space="0" w:color="579305" w:themeColor="accent1"/>
          <w:left w:val="dashed" w:sz="4" w:space="0" w:color="579305" w:themeColor="accent1"/>
          <w:bottom w:val="dashed" w:sz="4" w:space="0" w:color="579305" w:themeColor="accent1"/>
          <w:right w:val="dashed" w:sz="4" w:space="0" w:color="579305" w:themeColor="accent1"/>
          <w:insideH w:val="dashed" w:sz="4" w:space="0" w:color="579305" w:themeColor="accent1"/>
          <w:insideV w:val="dashed" w:sz="4" w:space="0" w:color="579305" w:themeColor="accent1"/>
        </w:tblBorders>
        <w:tblCellMar>
          <w:top w:w="113" w:type="dxa"/>
          <w:bottom w:w="113" w:type="dxa"/>
        </w:tblCellMar>
        <w:tblLook w:val="04A0" w:firstRow="1" w:lastRow="0" w:firstColumn="1" w:lastColumn="0" w:noHBand="0" w:noVBand="1"/>
      </w:tblPr>
      <w:tblGrid>
        <w:gridCol w:w="9628"/>
      </w:tblGrid>
      <w:tr w:rsidR="00F620B9" w:rsidRPr="007D28D6" w14:paraId="230785DB" w14:textId="77777777" w:rsidTr="002333D3">
        <w:trPr>
          <w:cantSplit/>
        </w:trPr>
        <w:tc>
          <w:tcPr>
            <w:tcW w:w="9628" w:type="dxa"/>
          </w:tcPr>
          <w:p w14:paraId="710B19CD" w14:textId="415DB758" w:rsidR="00F620B9" w:rsidRPr="007D28D6" w:rsidRDefault="009C632B" w:rsidP="002A2449">
            <w:pPr>
              <w:pStyle w:val="tableheading"/>
              <w:rPr>
                <w:rtl/>
              </w:rPr>
            </w:pPr>
            <w:r w:rsidRPr="007D28D6">
              <w:rPr>
                <w:rFonts w:hint="cs"/>
                <w:rtl/>
              </w:rPr>
              <w:t>المجموعة الأولى:</w:t>
            </w:r>
          </w:p>
          <w:p w14:paraId="7CB0BB1F" w14:textId="18566774" w:rsidR="00F620B9" w:rsidRPr="007D28D6" w:rsidRDefault="005B6782" w:rsidP="002A2449">
            <w:pPr>
              <w:pStyle w:val="table"/>
            </w:pPr>
            <w:r w:rsidRPr="007D28D6">
              <w:rPr>
                <w:rFonts w:hint="cs"/>
                <w:rtl/>
              </w:rPr>
              <w:t>نعترف</w:t>
            </w:r>
            <w:r w:rsidR="009C632B" w:rsidRPr="007D28D6">
              <w:rPr>
                <w:rFonts w:hint="cs"/>
                <w:rtl/>
              </w:rPr>
              <w:t xml:space="preserve"> </w:t>
            </w:r>
            <w:r w:rsidRPr="007D28D6">
              <w:rPr>
                <w:rFonts w:hint="cs"/>
                <w:rtl/>
              </w:rPr>
              <w:t>بأولوية دور</w:t>
            </w:r>
            <w:r w:rsidR="009C632B" w:rsidRPr="007D28D6">
              <w:rPr>
                <w:rtl/>
              </w:rPr>
              <w:t xml:space="preserve"> </w:t>
            </w:r>
            <w:r w:rsidR="009C632B" w:rsidRPr="007D28D6">
              <w:rPr>
                <w:rFonts w:hint="cs"/>
                <w:rtl/>
              </w:rPr>
              <w:t>ا</w:t>
            </w:r>
            <w:r w:rsidR="009C632B" w:rsidRPr="007D28D6">
              <w:rPr>
                <w:rtl/>
              </w:rPr>
              <w:t xml:space="preserve">لدولة المتضررة </w:t>
            </w:r>
            <w:r w:rsidRPr="007D28D6">
              <w:rPr>
                <w:rFonts w:hint="cs"/>
                <w:rtl/>
              </w:rPr>
              <w:t xml:space="preserve">ومسؤوليتها فيما يتعلق بتوفير </w:t>
            </w:r>
            <w:r w:rsidR="009C632B" w:rsidRPr="007D28D6">
              <w:rPr>
                <w:rtl/>
              </w:rPr>
              <w:t xml:space="preserve">المساعدة </w:t>
            </w:r>
            <w:r w:rsidRPr="007D28D6">
              <w:rPr>
                <w:rtl/>
              </w:rPr>
              <w:t>للمتضررين في الوقت المناسب</w:t>
            </w:r>
            <w:r w:rsidR="009C632B" w:rsidRPr="007D28D6">
              <w:rPr>
                <w:rtl/>
              </w:rPr>
              <w:t>،</w:t>
            </w:r>
            <w:r w:rsidR="009C632B" w:rsidRPr="007D28D6">
              <w:rPr>
                <w:rFonts w:hint="cs"/>
                <w:rtl/>
              </w:rPr>
              <w:t xml:space="preserve"> و</w:t>
            </w:r>
            <w:r w:rsidRPr="007D28D6">
              <w:rPr>
                <w:rFonts w:hint="cs"/>
                <w:rtl/>
              </w:rPr>
              <w:t>ب</w:t>
            </w:r>
            <w:r w:rsidR="009C632B" w:rsidRPr="007D28D6">
              <w:rPr>
                <w:rtl/>
              </w:rPr>
              <w:t xml:space="preserve">ضمان حماية </w:t>
            </w:r>
            <w:r w:rsidRPr="007D28D6">
              <w:rPr>
                <w:rFonts w:hint="cs"/>
                <w:rtl/>
              </w:rPr>
              <w:t xml:space="preserve">الناس </w:t>
            </w:r>
            <w:r w:rsidRPr="007D28D6">
              <w:rPr>
                <w:rtl/>
              </w:rPr>
              <w:t>و</w:t>
            </w:r>
            <w:r w:rsidR="009C632B" w:rsidRPr="007D28D6">
              <w:rPr>
                <w:rtl/>
              </w:rPr>
              <w:t>أمن</w:t>
            </w:r>
            <w:r w:rsidRPr="007D28D6">
              <w:rPr>
                <w:rFonts w:hint="cs"/>
                <w:rtl/>
              </w:rPr>
              <w:t>هم</w:t>
            </w:r>
            <w:r w:rsidR="009C632B" w:rsidRPr="007D28D6">
              <w:rPr>
                <w:rtl/>
              </w:rPr>
              <w:t>، و</w:t>
            </w:r>
            <w:r w:rsidRPr="007D28D6">
              <w:rPr>
                <w:rFonts w:hint="cs"/>
                <w:rtl/>
              </w:rPr>
              <w:t>ب</w:t>
            </w:r>
            <w:r w:rsidR="009C632B" w:rsidRPr="007D28D6">
              <w:rPr>
                <w:rtl/>
              </w:rPr>
              <w:t xml:space="preserve">توفير الدعم </w:t>
            </w:r>
            <w:r w:rsidRPr="007D28D6">
              <w:rPr>
                <w:rFonts w:hint="cs"/>
                <w:rtl/>
              </w:rPr>
              <w:t>من أجل انتعاشهم</w:t>
            </w:r>
            <w:r w:rsidR="009C632B" w:rsidRPr="007D28D6">
              <w:rPr>
                <w:rtl/>
              </w:rPr>
              <w:t>. (</w:t>
            </w:r>
            <w:r w:rsidRPr="007D28D6">
              <w:rPr>
                <w:rtl/>
              </w:rPr>
              <w:t>الميثاق الإنساني</w:t>
            </w:r>
            <w:r w:rsidRPr="007D28D6">
              <w:rPr>
                <w:rFonts w:hint="cs"/>
                <w:rtl/>
              </w:rPr>
              <w:t>، اسفير،</w:t>
            </w:r>
            <w:r w:rsidRPr="007D28D6">
              <w:rPr>
                <w:rtl/>
              </w:rPr>
              <w:t xml:space="preserve"> صفحة </w:t>
            </w:r>
            <w:r w:rsidR="00D74F27" w:rsidRPr="007D28D6">
              <w:rPr>
                <w:rFonts w:hint="cs"/>
                <w:rtl/>
              </w:rPr>
              <w:t>18</w:t>
            </w:r>
            <w:r w:rsidR="009C632B" w:rsidRPr="007D28D6">
              <w:rPr>
                <w:rtl/>
              </w:rPr>
              <w:t>)</w:t>
            </w:r>
          </w:p>
        </w:tc>
      </w:tr>
      <w:tr w:rsidR="00F620B9" w:rsidRPr="007D28D6" w14:paraId="078A50A2" w14:textId="77777777" w:rsidTr="002333D3">
        <w:trPr>
          <w:cantSplit/>
        </w:trPr>
        <w:tc>
          <w:tcPr>
            <w:tcW w:w="9628" w:type="dxa"/>
          </w:tcPr>
          <w:p w14:paraId="119143A5" w14:textId="5D0427DD" w:rsidR="00F620B9" w:rsidRPr="007D28D6" w:rsidRDefault="009C632B" w:rsidP="002A2449">
            <w:pPr>
              <w:pStyle w:val="tableheading"/>
              <w:rPr>
                <w:rtl/>
              </w:rPr>
            </w:pPr>
            <w:r w:rsidRPr="007D28D6">
              <w:rPr>
                <w:rFonts w:hint="cs"/>
                <w:rtl/>
              </w:rPr>
              <w:t>المجموعة الثانية:</w:t>
            </w:r>
          </w:p>
          <w:p w14:paraId="72A6E41E" w14:textId="67346FC8" w:rsidR="00F620B9" w:rsidRPr="007D28D6" w:rsidRDefault="00345563" w:rsidP="002A2449">
            <w:pPr>
              <w:pStyle w:val="table"/>
            </w:pPr>
            <w:r w:rsidRPr="007D28D6">
              <w:rPr>
                <w:rFonts w:hint="cs"/>
                <w:rtl/>
              </w:rPr>
              <w:t>ندعو كافة الجهات الفاعلة الحكومية وغير الحكومية إلى احترام دور الوكالات الإنسانية الذي يتسم بالاستقلالية، وعد</w:t>
            </w:r>
            <w:r w:rsidR="008F2C63" w:rsidRPr="007D28D6">
              <w:rPr>
                <w:rFonts w:hint="cs"/>
                <w:rtl/>
              </w:rPr>
              <w:t xml:space="preserve">م التحيز أو التحزب، كما ندعوها إلى </w:t>
            </w:r>
            <w:r w:rsidRPr="007D28D6">
              <w:rPr>
                <w:rFonts w:hint="cs"/>
                <w:rtl/>
              </w:rPr>
              <w:t>تسهيل عملها، وذلك من خلال</w:t>
            </w:r>
            <w:r w:rsidR="008F2C63" w:rsidRPr="007D28D6">
              <w:rPr>
                <w:rFonts w:hint="cs"/>
                <w:rtl/>
              </w:rPr>
              <w:t xml:space="preserve"> إزالة الحواجز القانونية والعملية غير </w:t>
            </w:r>
            <w:r w:rsidR="00535CE0" w:rsidRPr="007D28D6">
              <w:rPr>
                <w:rFonts w:hint="cs"/>
                <w:rtl/>
              </w:rPr>
              <w:t>الضروري</w:t>
            </w:r>
            <w:r w:rsidR="00535CE0" w:rsidRPr="007D28D6">
              <w:rPr>
                <w:rFonts w:hint="eastAsia"/>
                <w:rtl/>
              </w:rPr>
              <w:t>ة</w:t>
            </w:r>
            <w:r w:rsidR="008F2C63" w:rsidRPr="007D28D6">
              <w:rPr>
                <w:rFonts w:hint="cs"/>
                <w:rtl/>
              </w:rPr>
              <w:t>، وكفالة سلامتها، والسماح لها بالوصول إلى الفئات السكانية المتضررة بشكل متسق وفي الوقت المناسب</w:t>
            </w:r>
            <w:r w:rsidR="009C632B" w:rsidRPr="007D28D6">
              <w:rPr>
                <w:rtl/>
              </w:rPr>
              <w:t>. (</w:t>
            </w:r>
            <w:r w:rsidR="005B6782" w:rsidRPr="007D28D6">
              <w:rPr>
                <w:rtl/>
              </w:rPr>
              <w:t>الميثاق الإنساني</w:t>
            </w:r>
            <w:r w:rsidR="005B6782" w:rsidRPr="007D28D6">
              <w:rPr>
                <w:rFonts w:hint="cs"/>
                <w:rtl/>
              </w:rPr>
              <w:t>، اسفير،</w:t>
            </w:r>
            <w:r w:rsidR="00FF59C2" w:rsidRPr="007D28D6">
              <w:rPr>
                <w:rtl/>
              </w:rPr>
              <w:t xml:space="preserve"> ص</w:t>
            </w:r>
            <w:r w:rsidR="00FF59C2" w:rsidRPr="007D28D6">
              <w:rPr>
                <w:rFonts w:hint="cs"/>
                <w:rtl/>
              </w:rPr>
              <w:t>.</w:t>
            </w:r>
            <w:r w:rsidR="009C632B" w:rsidRPr="007D28D6">
              <w:rPr>
                <w:rtl/>
              </w:rPr>
              <w:t xml:space="preserve"> </w:t>
            </w:r>
            <w:r w:rsidR="008D7DFF" w:rsidRPr="007D28D6">
              <w:rPr>
                <w:rFonts w:hint="cs"/>
                <w:rtl/>
              </w:rPr>
              <w:t>19</w:t>
            </w:r>
            <w:r w:rsidR="009C632B" w:rsidRPr="007D28D6">
              <w:rPr>
                <w:rtl/>
              </w:rPr>
              <w:t>)</w:t>
            </w:r>
          </w:p>
        </w:tc>
      </w:tr>
      <w:tr w:rsidR="00F620B9" w:rsidRPr="007D28D6" w14:paraId="2C2217A4" w14:textId="77777777" w:rsidTr="002333D3">
        <w:trPr>
          <w:cantSplit/>
        </w:trPr>
        <w:tc>
          <w:tcPr>
            <w:tcW w:w="9628" w:type="dxa"/>
          </w:tcPr>
          <w:p w14:paraId="0E84763C" w14:textId="48673A3D" w:rsidR="00F620B9" w:rsidRPr="007D28D6" w:rsidRDefault="00535CE0" w:rsidP="002A2449">
            <w:pPr>
              <w:pStyle w:val="tableheading"/>
              <w:rPr>
                <w:rtl/>
              </w:rPr>
            </w:pPr>
            <w:r w:rsidRPr="007D28D6">
              <w:rPr>
                <w:rFonts w:hint="cs"/>
                <w:rtl/>
              </w:rPr>
              <w:t>المجموعة الثالثة:</w:t>
            </w:r>
          </w:p>
          <w:p w14:paraId="60440288" w14:textId="3A73ACC8" w:rsidR="00F620B9" w:rsidRPr="007D28D6" w:rsidRDefault="00B67A3C" w:rsidP="002A2449">
            <w:pPr>
              <w:pStyle w:val="table"/>
            </w:pPr>
            <w:r w:rsidRPr="007D28D6">
              <w:rPr>
                <w:rtl/>
              </w:rPr>
              <w:t>يعد الحق في الحصول على المساعدات الإنسانية عنصراً ضرورياً من عناصر الحق في الحياة بكرامة وهو ينطوي على تحقيق مستوى معيشي لائق، يتضمن ما يكفي من الغذاء والمياه والملبس والإيواء، والمتطلبات اللازمة للحياة بصحة جيدة، وهو حق يضمنه القانون الدولي صراحة. وتتجسد هذه الحقوق في المعايير الدنيا والمعايير الأساسية لمشروع “اسفير”، التي تعطيها واقعاً عملياً، وتحديداً فيما يتعلق بتقديم المساعدة إلى متضرري الكوارث أو النزاعات. ونحن نؤمن بأنه أينما وجدت مجالات لا تقدم فيها الجهات الفاعلة الحكومية وغير الحكومية مثل هذه المساعدة بنفسها، فإنه يتوجب على هذه الجهات حينئذ السماح للغير بالمساعدة على القيام بذلك.</w:t>
            </w:r>
            <w:r w:rsidRPr="007D28D6">
              <w:rPr>
                <w:rFonts w:hint="cs"/>
                <w:rtl/>
              </w:rPr>
              <w:t xml:space="preserve"> (الميثاق الإنساني، اسفير، ص. </w:t>
            </w:r>
            <w:r w:rsidR="008D7DFF" w:rsidRPr="007D28D6">
              <w:rPr>
                <w:rFonts w:hint="cs"/>
                <w:rtl/>
              </w:rPr>
              <w:t>19-20</w:t>
            </w:r>
            <w:r w:rsidRPr="007D28D6">
              <w:rPr>
                <w:rFonts w:hint="cs"/>
                <w:rtl/>
              </w:rPr>
              <w:t>)</w:t>
            </w:r>
          </w:p>
        </w:tc>
      </w:tr>
      <w:tr w:rsidR="00F620B9" w:rsidRPr="007D28D6" w14:paraId="7BCE7A26" w14:textId="77777777" w:rsidTr="002333D3">
        <w:trPr>
          <w:cantSplit/>
        </w:trPr>
        <w:tc>
          <w:tcPr>
            <w:tcW w:w="9628" w:type="dxa"/>
          </w:tcPr>
          <w:p w14:paraId="642C8FCF" w14:textId="18369897" w:rsidR="00F620B9" w:rsidRPr="007D28D6" w:rsidRDefault="00B67A3C" w:rsidP="002A2449">
            <w:pPr>
              <w:pStyle w:val="tableheading"/>
              <w:rPr>
                <w:rtl/>
              </w:rPr>
            </w:pPr>
            <w:r w:rsidRPr="007D28D6">
              <w:rPr>
                <w:rFonts w:hint="cs"/>
                <w:rtl/>
              </w:rPr>
              <w:t>المجموعة الرابعة:</w:t>
            </w:r>
          </w:p>
          <w:p w14:paraId="32F1A833" w14:textId="4BAF4656" w:rsidR="00F620B9" w:rsidRPr="007D28D6" w:rsidRDefault="00FF59C2" w:rsidP="002A2449">
            <w:pPr>
              <w:pStyle w:val="table"/>
            </w:pPr>
            <w:r w:rsidRPr="007D28D6">
              <w:rPr>
                <w:rtl/>
              </w:rPr>
              <w:t>يتأصل الحق في الحماية والأمن في أحكام القانون الدولي، وقرارات الأمم المتحدة، والمنظمات الحكومية الدولية الأخرى، وكذلك في المسؤولية السيادية للدول التي تكفل من خلالها حماية جميع الخاضعين لولايتها. وتحظى سلامة الناس وأمنهم في حالات الكوارث أو النزاعات باهتمام إنساني خاص، ويتضمن ذلك توفير الحماية للاجئين والنازحين داخل بلدهم. وحسب إقرار القانون، فقد يتعرض بعض الناس بشكل خاص للإساءة والتمييز الضار بسبب وضعهم، من حيث العمر أو نوع الجنس أو العرق، وربما يستلزم الأمر اتخاذ تدابير خاصة من أجل توفير الحماية لهم ومساعدتهم. ونحن نعتقد أنه في حالة افتقار الدولة إلى القدرة اللازمة لحماية الناس في مثل هذه الظروف، فإنه يتوجب عليها التماس المساعدة الدولية من أجل القيام بذلك.</w:t>
            </w:r>
            <w:r w:rsidRPr="007D28D6">
              <w:rPr>
                <w:rFonts w:hint="cs"/>
                <w:rtl/>
              </w:rPr>
              <w:t xml:space="preserve"> (الميثاق الإنساني، اسفير، ص. </w:t>
            </w:r>
            <w:r w:rsidR="008D7DFF" w:rsidRPr="007D28D6">
              <w:rPr>
                <w:rFonts w:hint="cs"/>
                <w:rtl/>
              </w:rPr>
              <w:t>20</w:t>
            </w:r>
            <w:r w:rsidRPr="007D28D6">
              <w:rPr>
                <w:rFonts w:hint="cs"/>
                <w:rtl/>
              </w:rPr>
              <w:t>)</w:t>
            </w:r>
          </w:p>
        </w:tc>
      </w:tr>
      <w:tr w:rsidR="00F620B9" w:rsidRPr="007D28D6" w14:paraId="637C0693" w14:textId="77777777" w:rsidTr="002333D3">
        <w:trPr>
          <w:cantSplit/>
        </w:trPr>
        <w:tc>
          <w:tcPr>
            <w:tcW w:w="9628" w:type="dxa"/>
          </w:tcPr>
          <w:p w14:paraId="3CCF8279" w14:textId="46A2386C" w:rsidR="00F620B9" w:rsidRPr="007D28D6" w:rsidRDefault="00FF59C2" w:rsidP="002A2449">
            <w:pPr>
              <w:pStyle w:val="tableheading"/>
              <w:rPr>
                <w:rtl/>
              </w:rPr>
            </w:pPr>
            <w:r w:rsidRPr="007D28D6">
              <w:rPr>
                <w:rFonts w:hint="cs"/>
                <w:rtl/>
              </w:rPr>
              <w:t>المجموعة الخامسة:</w:t>
            </w:r>
          </w:p>
          <w:p w14:paraId="3B310AE7" w14:textId="5295985F" w:rsidR="00F620B9" w:rsidRPr="007D28D6" w:rsidRDefault="00225983" w:rsidP="002A2449">
            <w:pPr>
              <w:pStyle w:val="table"/>
              <w:rPr>
                <w:rtl/>
              </w:rPr>
            </w:pPr>
            <w:r w:rsidRPr="007D28D6">
              <w:rPr>
                <w:rtl/>
              </w:rPr>
              <w:t>نلتزم ببذل كل جهد ممكن لضمان حصول متضرري الكوارث أو النزاعات على ما لا يقل عن الحد الأدنى من المتطلبات اللازمة للحياة بكرامة وأمن، وذلك انطلاقاً من الالتزام بالمعايير الدنيا والمعايير الأساسية، ويتضمن ذلك ما يكفي من المياه والإصحاح والأغذية والتغذية والمأوى والرعاية الصحية. وتحقيقاً لهذه الغاية، فإننا سنواصل دعوة الدول والأطراف المعنية الأخرى إلى الوفاء بالتزاماتها الأخلاقية والقانونية تجاه الفئات السكانية المتضررة.</w:t>
            </w:r>
            <w:r w:rsidRPr="007D28D6">
              <w:rPr>
                <w:rFonts w:hint="cs"/>
                <w:rtl/>
              </w:rPr>
              <w:t xml:space="preserve"> (الميثاق الإنساني، اسفير، ص. 2</w:t>
            </w:r>
            <w:r w:rsidR="008D7DFF" w:rsidRPr="007D28D6">
              <w:rPr>
                <w:rFonts w:hint="cs"/>
                <w:rtl/>
              </w:rPr>
              <w:t>1</w:t>
            </w:r>
            <w:r w:rsidRPr="007D28D6">
              <w:rPr>
                <w:rFonts w:hint="cs"/>
                <w:rtl/>
              </w:rPr>
              <w:t>)</w:t>
            </w:r>
          </w:p>
        </w:tc>
      </w:tr>
      <w:tr w:rsidR="00F620B9" w:rsidRPr="007D28D6" w14:paraId="424F187B" w14:textId="77777777" w:rsidTr="002333D3">
        <w:trPr>
          <w:cantSplit/>
        </w:trPr>
        <w:tc>
          <w:tcPr>
            <w:tcW w:w="9628" w:type="dxa"/>
          </w:tcPr>
          <w:p w14:paraId="3269FBD3" w14:textId="59C9580A" w:rsidR="00F620B9" w:rsidRPr="007D28D6" w:rsidRDefault="00A44283" w:rsidP="002A2449">
            <w:pPr>
              <w:pStyle w:val="tableheading"/>
              <w:rPr>
                <w:rtl/>
              </w:rPr>
            </w:pPr>
            <w:r w:rsidRPr="007D28D6">
              <w:rPr>
                <w:rFonts w:hint="cs"/>
                <w:rtl/>
              </w:rPr>
              <w:lastRenderedPageBreak/>
              <w:t>المجموعة السادسة:</w:t>
            </w:r>
          </w:p>
          <w:p w14:paraId="1C434DE1" w14:textId="1EAEE9AB" w:rsidR="00A44283" w:rsidRPr="007D28D6" w:rsidRDefault="00A44283" w:rsidP="002A2449">
            <w:pPr>
              <w:pStyle w:val="table"/>
              <w:rPr>
                <w:rtl/>
              </w:rPr>
            </w:pPr>
            <w:r w:rsidRPr="00673426">
              <w:rPr>
                <w:b/>
                <w:bCs/>
                <w:rtl/>
              </w:rPr>
              <w:t>المعيار الأساسي رقم 2:</w:t>
            </w:r>
            <w:r w:rsidRPr="007D28D6">
              <w:rPr>
                <w:rtl/>
              </w:rPr>
              <w:t xml:space="preserve"> يجري التخطيط للاستجابة الإنسانية وتنفيذها بالتنسيق مع الأطراف ذات الصلة المنخرطة في مجال العمل الإنساني غير المتحيز، مثل السلطات والوكالات الإنسانية ومنظمات المجتمع المدني، التي تعمل معاً من أجل تحقيق أقصى قدر من الكفاءة والتغطية والفعالية.</w:t>
            </w:r>
          </w:p>
          <w:p w14:paraId="4C9D1C2F" w14:textId="63D8D18C" w:rsidR="00F620B9" w:rsidRPr="007D28D6" w:rsidRDefault="00A44283" w:rsidP="002A2449">
            <w:pPr>
              <w:pStyle w:val="table"/>
            </w:pPr>
            <w:r w:rsidRPr="00673426">
              <w:rPr>
                <w:rFonts w:hint="cs"/>
                <w:b/>
                <w:bCs/>
                <w:rtl/>
              </w:rPr>
              <w:t xml:space="preserve">ملاحظة إرشادية: </w:t>
            </w:r>
            <w:r w:rsidRPr="0048194C">
              <w:rPr>
                <w:rtl/>
              </w:rPr>
              <w:t>تنسيق الأدوار:</w:t>
            </w:r>
            <w:r w:rsidRPr="007D28D6">
              <w:rPr>
                <w:rtl/>
              </w:rPr>
              <w:t xml:space="preserve"> هذا هو دور الدولة المتضررة لتنسيق أنشطة الاستجابة </w:t>
            </w:r>
            <w:proofErr w:type="gramStart"/>
            <w:r w:rsidRPr="007D28D6">
              <w:rPr>
                <w:rtl/>
              </w:rPr>
              <w:t>من</w:t>
            </w:r>
            <w:proofErr w:type="gramEnd"/>
            <w:r w:rsidRPr="007D28D6">
              <w:rPr>
                <w:rtl/>
              </w:rPr>
              <w:t xml:space="preserve"> جانب الوكالات الإنسانية. وللوكالات الإنسانية دور أساسي يدعم المهمة التنسيقية للدولة. بيد أنه في بعض السياقات، قد يكون من المستحسن اللجوء إلى آليات تنسيق بديلة، على سبيل المثال، إذا كانت سلطات الدولة هي نفسها المسؤولة عن التجاوزات والانتهاكات، أو أنها تقدم المساعدة بطريقة متحيزة، أو إذا كان لدى الدولة استعداد لممارسة دور تنسيقي، ولكنها تفتقر إلى القدرة. وفي هذه الحالات، فقد يمكن إجراء الاجتماعات التنسيقية بشكل منفرد أو مشترك فيما بين السلطات المحلية مع الأمم المتحدة أو المنظمات غير الحكومية. وفي أغلب الأحيان تنسق العديد من حالات الطوارئ الإنسانية واسعة النطاق من خلال “نهج التكتلات”، وذلك مع مجموعات من الوكالات العاملة في القطاع نفسه تحت إدارة وكالة رائدة.</w:t>
            </w:r>
            <w:r w:rsidRPr="007D28D6">
              <w:rPr>
                <w:rFonts w:hint="cs"/>
                <w:rtl/>
              </w:rPr>
              <w:t xml:space="preserve"> (المعيار الأساسي رقم 2، اسفير، ص. </w:t>
            </w:r>
            <w:r w:rsidR="008D7DFF" w:rsidRPr="007D28D6">
              <w:rPr>
                <w:rFonts w:hint="cs"/>
                <w:rtl/>
              </w:rPr>
              <w:t>54</w:t>
            </w:r>
            <w:r w:rsidR="00D74F27" w:rsidRPr="007D28D6">
              <w:rPr>
                <w:rFonts w:hint="cs"/>
                <w:rtl/>
              </w:rPr>
              <w:t>-55</w:t>
            </w:r>
            <w:r w:rsidRPr="007D28D6">
              <w:rPr>
                <w:rFonts w:hint="cs"/>
                <w:rtl/>
              </w:rPr>
              <w:t>)</w:t>
            </w:r>
          </w:p>
        </w:tc>
      </w:tr>
      <w:tr w:rsidR="00F620B9" w:rsidRPr="007D28D6" w14:paraId="6899F62A" w14:textId="77777777" w:rsidTr="002333D3">
        <w:trPr>
          <w:cantSplit/>
        </w:trPr>
        <w:tc>
          <w:tcPr>
            <w:tcW w:w="9628" w:type="dxa"/>
          </w:tcPr>
          <w:p w14:paraId="4D9F25BB" w14:textId="42111057" w:rsidR="00F620B9" w:rsidRPr="007D28D6" w:rsidRDefault="00A44283" w:rsidP="002A2449">
            <w:pPr>
              <w:pStyle w:val="tableheading"/>
              <w:rPr>
                <w:rtl/>
              </w:rPr>
            </w:pPr>
            <w:r w:rsidRPr="007D28D6">
              <w:rPr>
                <w:rFonts w:hint="cs"/>
                <w:rtl/>
              </w:rPr>
              <w:t>المجموعة السابعة:</w:t>
            </w:r>
          </w:p>
          <w:p w14:paraId="261FEB9C" w14:textId="28FEB019" w:rsidR="008D3721" w:rsidRPr="00673426" w:rsidRDefault="008D3721" w:rsidP="002A2449">
            <w:pPr>
              <w:pStyle w:val="table"/>
              <w:rPr>
                <w:b/>
                <w:bCs/>
                <w:rtl/>
              </w:rPr>
            </w:pPr>
            <w:r w:rsidRPr="00673426">
              <w:rPr>
                <w:b/>
                <w:bCs/>
                <w:rtl/>
              </w:rPr>
              <w:t>المعيار الأساسي رقم 4: التصميم والاستجابة</w:t>
            </w:r>
          </w:p>
          <w:p w14:paraId="3FA02596" w14:textId="319E826F" w:rsidR="00A44283" w:rsidRPr="007D28D6" w:rsidRDefault="008D3721" w:rsidP="002A2449">
            <w:pPr>
              <w:pStyle w:val="table"/>
              <w:rPr>
                <w:rtl/>
              </w:rPr>
            </w:pPr>
            <w:r w:rsidRPr="007D28D6">
              <w:rPr>
                <w:rtl/>
              </w:rPr>
              <w:t xml:space="preserve">تلبي الاستجابات الإنسانية حاجات السكان المتضررين من الكوارث التي تم تقديرها، وذلك فيما يتعلق بالسياق، وبالمخاطر التي </w:t>
            </w:r>
            <w:proofErr w:type="spellStart"/>
            <w:r w:rsidRPr="007D28D6">
              <w:rPr>
                <w:rtl/>
              </w:rPr>
              <w:t>يواجهونها</w:t>
            </w:r>
            <w:proofErr w:type="spellEnd"/>
            <w:r w:rsidRPr="007D28D6">
              <w:rPr>
                <w:rtl/>
              </w:rPr>
              <w:t>، وبقدرة الدولة وهؤلاء السكان المتضررين على المواجهة والانتعاش.</w:t>
            </w:r>
          </w:p>
          <w:p w14:paraId="271702D5" w14:textId="77777777" w:rsidR="008D3721" w:rsidRPr="00673426" w:rsidRDefault="008D3721" w:rsidP="002A2449">
            <w:pPr>
              <w:pStyle w:val="table"/>
              <w:rPr>
                <w:b/>
                <w:bCs/>
                <w:rtl/>
              </w:rPr>
            </w:pPr>
            <w:r w:rsidRPr="00673426">
              <w:rPr>
                <w:rFonts w:hint="cs"/>
                <w:b/>
                <w:bCs/>
                <w:rtl/>
              </w:rPr>
              <w:t>التدبير الأساسي:</w:t>
            </w:r>
          </w:p>
          <w:p w14:paraId="4DB66568" w14:textId="6974652C" w:rsidR="008D3721" w:rsidRPr="007D28D6" w:rsidRDefault="008D3721" w:rsidP="002A2449">
            <w:pPr>
              <w:pStyle w:val="table"/>
              <w:rPr>
                <w:rtl/>
              </w:rPr>
            </w:pPr>
            <w:r w:rsidRPr="007D28D6">
              <w:rPr>
                <w:rtl/>
              </w:rPr>
              <w:t>تصميم البرنامج بحيث يلبي الحاجات التي يصعب أو يستحيل تلبيتها من جانب الدولة أو الأشخاص المتضررين.</w:t>
            </w:r>
          </w:p>
          <w:p w14:paraId="315A2E24" w14:textId="6BA8D6CB" w:rsidR="008D3721" w:rsidRPr="00673426" w:rsidRDefault="008D3721" w:rsidP="002A2449">
            <w:pPr>
              <w:pStyle w:val="table"/>
              <w:rPr>
                <w:b/>
                <w:bCs/>
                <w:rtl/>
              </w:rPr>
            </w:pPr>
            <w:r w:rsidRPr="00673426">
              <w:rPr>
                <w:rFonts w:hint="cs"/>
                <w:b/>
                <w:bCs/>
                <w:rtl/>
              </w:rPr>
              <w:t>المؤشر الرئيسي:</w:t>
            </w:r>
          </w:p>
          <w:p w14:paraId="47452108" w14:textId="3C6AF00B" w:rsidR="008D3721" w:rsidRPr="007D28D6" w:rsidRDefault="008D3721" w:rsidP="002A2449">
            <w:pPr>
              <w:pStyle w:val="table"/>
              <w:rPr>
                <w:rtl/>
              </w:rPr>
            </w:pPr>
            <w:r w:rsidRPr="007D28D6">
              <w:rPr>
                <w:rtl/>
              </w:rPr>
              <w:t>تصميم البرنامج بحيث يعالج الفجوة بين حاجات الناس من ناحية، وقدرتهم أو قدرة دولهم على تلبيتها من ناحية أخرى.</w:t>
            </w:r>
          </w:p>
          <w:p w14:paraId="29851097" w14:textId="0158D7BA" w:rsidR="007D28D6" w:rsidRPr="002333D3" w:rsidRDefault="008D3721" w:rsidP="002A2449">
            <w:pPr>
              <w:pStyle w:val="table"/>
              <w:rPr>
                <w:b/>
                <w:bCs/>
                <w:rtl/>
              </w:rPr>
            </w:pPr>
            <w:r w:rsidRPr="002333D3">
              <w:rPr>
                <w:rFonts w:hint="cs"/>
                <w:b/>
                <w:bCs/>
                <w:rtl/>
              </w:rPr>
              <w:t>ملاحظة إرشادية:</w:t>
            </w:r>
            <w:r w:rsidR="001A56C9">
              <w:rPr>
                <w:b/>
                <w:bCs/>
                <w:rtl/>
              </w:rPr>
              <w:t xml:space="preserve"> دعم القدرات الحالية</w:t>
            </w:r>
            <w:bookmarkStart w:id="0" w:name="_GoBack"/>
            <w:bookmarkEnd w:id="0"/>
          </w:p>
          <w:p w14:paraId="4377DE5A" w14:textId="02007927" w:rsidR="00F620B9" w:rsidRPr="007D28D6" w:rsidRDefault="008D3721" w:rsidP="002A2449">
            <w:pPr>
              <w:pStyle w:val="table"/>
            </w:pPr>
            <w:r w:rsidRPr="007D28D6">
              <w:rPr>
                <w:rtl/>
              </w:rPr>
              <w:t>تتجسد أولوية دور الدولة ومسؤوليتها في تقديم المساعدة في التوقيت المناسب، وحماية أولئك المتضررين (انظر الفقرة رقم 2 من الميثاق الإنساني)، والقيام بالتدخل إذا كان السكان المتضررون و/أو الدولة لا يملكون القدرة الكافية للاستجابة (ولا سيما فيما يتعلق بالاستجابة المبكرة)، أو إذا كانت الدولة أو السلطات المسيطرة تقوم بالتمييز ضد فئات معينة من الناس و/أو المناطق المتضررة. وفي جميع الحالات، فإن حجم الاستجابة الإنسانية ونوعها يسترشدان بقدرات الدولة ونواياها تجاه جميع أفراد السكان المتضررين.</w:t>
            </w:r>
            <w:r w:rsidRPr="007D28D6">
              <w:rPr>
                <w:rFonts w:hint="cs"/>
                <w:rtl/>
              </w:rPr>
              <w:t xml:space="preserve"> (المعيار الأساسي رقم 4، اسفير، ص. </w:t>
            </w:r>
            <w:r w:rsidR="00D74F27" w:rsidRPr="007D28D6">
              <w:rPr>
                <w:rFonts w:hint="cs"/>
                <w:rtl/>
              </w:rPr>
              <w:t>61-62</w:t>
            </w:r>
            <w:r w:rsidRPr="007D28D6">
              <w:rPr>
                <w:rFonts w:hint="cs"/>
                <w:rtl/>
              </w:rPr>
              <w:t>)</w:t>
            </w:r>
          </w:p>
        </w:tc>
      </w:tr>
    </w:tbl>
    <w:p w14:paraId="6EC3B327" w14:textId="2A95BDCD" w:rsidR="006D149B" w:rsidRPr="007D28D6" w:rsidRDefault="006D149B" w:rsidP="007D28D6"/>
    <w:sectPr w:rsidR="006D149B" w:rsidRPr="007D28D6" w:rsidSect="007D28D6">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418" w:right="1247" w:bottom="851" w:left="1247" w:header="709" w:footer="45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41E3BF" w14:textId="77777777" w:rsidR="002A1AD8" w:rsidRDefault="002A1AD8" w:rsidP="002848CC">
      <w:pPr>
        <w:spacing w:before="0"/>
      </w:pPr>
      <w:r>
        <w:separator/>
      </w:r>
    </w:p>
  </w:endnote>
  <w:endnote w:type="continuationSeparator" w:id="0">
    <w:p w14:paraId="61CD8E79" w14:textId="77777777" w:rsidR="002A1AD8" w:rsidRDefault="002A1AD8"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0F9B59" w14:textId="517279CF" w:rsidR="00614202" w:rsidRPr="004F1D9A" w:rsidRDefault="00614202" w:rsidP="00F51600">
    <w:r w:rsidRPr="00F97BB3">
      <w:t>Module B3: Sphere, Disaster Risk Reduction/Management and resilience. 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0032A" w14:textId="77777777" w:rsidR="00524F62" w:rsidRPr="00524F62" w:rsidRDefault="00524F62" w:rsidP="00524F62">
    <w:pPr>
      <w:pStyle w:val="Footer"/>
      <w:rPr>
        <w:sz w:val="22"/>
        <w:szCs w:val="24"/>
      </w:rPr>
    </w:pPr>
    <w:r w:rsidRPr="00524F62">
      <w:rPr>
        <w:sz w:val="22"/>
        <w:szCs w:val="24"/>
        <w:rtl/>
      </w:rPr>
      <w:t>الجزء "</w:t>
    </w:r>
    <w:r w:rsidRPr="00524F62">
      <w:rPr>
        <w:rFonts w:hint="cs"/>
        <w:sz w:val="22"/>
        <w:szCs w:val="24"/>
        <w:rtl/>
      </w:rPr>
      <w:t>ت</w:t>
    </w:r>
    <w:r w:rsidRPr="00524F62">
      <w:rPr>
        <w:sz w:val="22"/>
        <w:szCs w:val="24"/>
        <w:rtl/>
      </w:rPr>
      <w:t xml:space="preserve">" 3: </w:t>
    </w:r>
    <w:proofErr w:type="spellStart"/>
    <w:r w:rsidRPr="00524F62">
      <w:rPr>
        <w:sz w:val="22"/>
        <w:szCs w:val="24"/>
        <w:rtl/>
      </w:rPr>
      <w:t>اسفير</w:t>
    </w:r>
    <w:proofErr w:type="spellEnd"/>
    <w:r w:rsidRPr="00524F62">
      <w:rPr>
        <w:sz w:val="22"/>
        <w:szCs w:val="24"/>
        <w:rtl/>
      </w:rPr>
      <w:t xml:space="preserve"> والسلطات الوطنية</w:t>
    </w:r>
    <w:r w:rsidRPr="00524F62">
      <w:rPr>
        <w:sz w:val="22"/>
        <w:szCs w:val="24"/>
      </w:rPr>
      <w:tab/>
    </w:r>
    <w:r w:rsidRPr="00524F62">
      <w:rPr>
        <w:rFonts w:hint="cs"/>
        <w:sz w:val="22"/>
        <w:szCs w:val="24"/>
        <w:rtl/>
      </w:rPr>
      <w:t xml:space="preserve">مجموعة </w:t>
    </w:r>
    <w:proofErr w:type="spellStart"/>
    <w:r w:rsidRPr="00524F62">
      <w:rPr>
        <w:rFonts w:hint="cs"/>
        <w:sz w:val="22"/>
        <w:szCs w:val="24"/>
        <w:rtl/>
      </w:rPr>
      <w:t>اسفير</w:t>
    </w:r>
    <w:proofErr w:type="spellEnd"/>
    <w:r w:rsidRPr="00524F62">
      <w:rPr>
        <w:rFonts w:hint="cs"/>
        <w:sz w:val="22"/>
        <w:szCs w:val="24"/>
        <w:rtl/>
      </w:rPr>
      <w:t xml:space="preserve"> التدريبية 2015</w:t>
    </w:r>
  </w:p>
  <w:p w14:paraId="23572AFE" w14:textId="7BAC51CA" w:rsidR="00614202" w:rsidRPr="00524F62" w:rsidRDefault="00614202" w:rsidP="00524F6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31B5" w14:textId="158B90F5" w:rsidR="00614202" w:rsidRPr="00524F62" w:rsidRDefault="004545D5" w:rsidP="000F5F87">
    <w:pPr>
      <w:pStyle w:val="Footer"/>
      <w:rPr>
        <w:sz w:val="22"/>
        <w:szCs w:val="24"/>
      </w:rPr>
    </w:pPr>
    <w:r w:rsidRPr="00524F62">
      <w:rPr>
        <w:sz w:val="22"/>
        <w:szCs w:val="24"/>
        <w:rtl/>
      </w:rPr>
      <w:t>الجزء "</w:t>
    </w:r>
    <w:r w:rsidR="000F5F87" w:rsidRPr="00524F62">
      <w:rPr>
        <w:rFonts w:hint="cs"/>
        <w:sz w:val="22"/>
        <w:szCs w:val="24"/>
        <w:rtl/>
      </w:rPr>
      <w:t>ت</w:t>
    </w:r>
    <w:r w:rsidRPr="00524F62">
      <w:rPr>
        <w:sz w:val="22"/>
        <w:szCs w:val="24"/>
        <w:rtl/>
      </w:rPr>
      <w:t xml:space="preserve">" 3: </w:t>
    </w:r>
    <w:proofErr w:type="spellStart"/>
    <w:r w:rsidRPr="00524F62">
      <w:rPr>
        <w:sz w:val="22"/>
        <w:szCs w:val="24"/>
        <w:rtl/>
      </w:rPr>
      <w:t>اسفير</w:t>
    </w:r>
    <w:proofErr w:type="spellEnd"/>
    <w:r w:rsidRPr="00524F62">
      <w:rPr>
        <w:sz w:val="22"/>
        <w:szCs w:val="24"/>
        <w:rtl/>
      </w:rPr>
      <w:t xml:space="preserve"> والسلطات الوطنية</w:t>
    </w:r>
    <w:r w:rsidR="00614202" w:rsidRPr="00524F62">
      <w:rPr>
        <w:sz w:val="22"/>
        <w:szCs w:val="24"/>
      </w:rPr>
      <w:tab/>
    </w:r>
    <w:r w:rsidRPr="00524F62">
      <w:rPr>
        <w:rFonts w:hint="cs"/>
        <w:sz w:val="22"/>
        <w:szCs w:val="24"/>
        <w:rtl/>
      </w:rPr>
      <w:t>مجموعة اسفير التدريبية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34BCDD" w14:textId="77777777" w:rsidR="002A1AD8" w:rsidRDefault="002A1AD8" w:rsidP="002848CC">
      <w:pPr>
        <w:spacing w:before="0"/>
      </w:pPr>
      <w:r>
        <w:separator/>
      </w:r>
    </w:p>
  </w:footnote>
  <w:footnote w:type="continuationSeparator" w:id="0">
    <w:p w14:paraId="0985863C" w14:textId="77777777" w:rsidR="002A1AD8" w:rsidRDefault="002A1AD8"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FBBB23" w14:textId="5F59F794" w:rsidR="00614202" w:rsidRPr="004F1D9A" w:rsidRDefault="00614202" w:rsidP="00891199">
    <w:r w:rsidRPr="007A7ACB">
      <w:t>Handouts</w:t>
    </w:r>
    <w:r>
      <w:tab/>
    </w:r>
    <w:r w:rsidRPr="003E013F">
      <w:rPr>
        <w:noProof/>
        <w:lang w:val="fr-FR" w:eastAsia="fr-FR"/>
      </w:rPr>
      <w:drawing>
        <wp:inline distT="0" distB="0" distL="0" distR="0" wp14:anchorId="4A424C73" wp14:editId="6C7BAAF2">
          <wp:extent cx="1859799" cy="381992"/>
          <wp:effectExtent l="0" t="0" r="0" b="0"/>
          <wp:docPr id="6" name="Picture 6" descr="Files:Current Client:Walkgrove:Sphere:Sphere examples and guidelines:Visual_guidelines_and_materials:HANDBOOK ICONS:Sphere-Project-Logo-Landscape-No-Tagline-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les:Current Client:Walkgrove:Sphere:Sphere examples and guidelines:Visual_guidelines_and_materials:HANDBOOK ICONS:Sphere-Project-Logo-Landscape-No-Tagline-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2427" cy="382532"/>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367316" w14:textId="1AC9F4E3" w:rsidR="00614202" w:rsidRPr="00124ABA" w:rsidRDefault="009C632B" w:rsidP="00124ABA">
    <w:pPr>
      <w:pStyle w:val="Header"/>
      <w:jc w:val="right"/>
      <w:rPr>
        <w:sz w:val="32"/>
        <w:szCs w:val="32"/>
      </w:rPr>
    </w:pPr>
    <w:r w:rsidRPr="00124ABA">
      <w:rPr>
        <w:rFonts w:hint="cs"/>
        <w:sz w:val="32"/>
        <w:szCs w:val="32"/>
        <w:rtl/>
      </w:rPr>
      <w:t>المواد التدريبية</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455FA5" w14:textId="4AC069AA" w:rsidR="00C07E50" w:rsidRPr="00575F9D" w:rsidRDefault="00C07E50" w:rsidP="0072079E">
    <w:pPr>
      <w:pStyle w:val="Heading1"/>
      <w:rPr>
        <w:color w:val="579305" w:themeColor="accent1"/>
        <w:rtl/>
      </w:rPr>
    </w:pPr>
    <w:r w:rsidRPr="007D28D6">
      <w:rPr>
        <w:rFonts w:hint="cs"/>
        <w:rtl/>
      </w:rPr>
      <w:t xml:space="preserve">الجزء </w:t>
    </w:r>
    <w:r w:rsidR="004545D5" w:rsidRPr="007D28D6">
      <w:rPr>
        <w:rFonts w:hint="cs"/>
        <w:rtl/>
      </w:rPr>
      <w:t>"</w:t>
    </w:r>
    <w:r w:rsidR="0072079E">
      <w:rPr>
        <w:rFonts w:hint="cs"/>
        <w:rtl/>
        <w:lang w:bidi="ar-TN"/>
      </w:rPr>
      <w:t>ت</w:t>
    </w:r>
    <w:r w:rsidR="004545D5" w:rsidRPr="007D28D6">
      <w:rPr>
        <w:rFonts w:hint="cs"/>
        <w:rtl/>
      </w:rPr>
      <w:t>"</w:t>
    </w:r>
    <w:r w:rsidR="0072079E">
      <w:rPr>
        <w:rFonts w:hint="cs"/>
        <w:rtl/>
      </w:rPr>
      <w:t xml:space="preserve"> 3</w:t>
    </w:r>
    <w:r w:rsidRPr="007D28D6">
      <w:rPr>
        <w:rFonts w:hint="cs"/>
        <w:rtl/>
      </w:rPr>
      <w:t xml:space="preserve">: </w:t>
    </w:r>
    <w:proofErr w:type="spellStart"/>
    <w:r w:rsidRPr="007D28D6">
      <w:rPr>
        <w:rFonts w:hint="cs"/>
        <w:rtl/>
      </w:rPr>
      <w:t>اسفير</w:t>
    </w:r>
    <w:proofErr w:type="spellEnd"/>
    <w:r w:rsidRPr="007D28D6">
      <w:rPr>
        <w:rFonts w:hint="cs"/>
        <w:rtl/>
      </w:rPr>
      <w:t xml:space="preserve"> والسلطات الوطنية</w:t>
    </w:r>
    <w:r w:rsidRPr="007D28D6">
      <w:tab/>
    </w:r>
    <w:r w:rsidRPr="00575F9D">
      <w:rPr>
        <w:rFonts w:hint="cs"/>
        <w:color w:val="579305" w:themeColor="accent1"/>
        <w:rtl/>
      </w:rPr>
      <w:t>المواد التدريبية</w:t>
    </w:r>
  </w:p>
  <w:p w14:paraId="3E1679D9" w14:textId="05D8723A" w:rsidR="00614202" w:rsidRPr="007D28D6" w:rsidRDefault="00C07E50" w:rsidP="00AC0B4B">
    <w:pPr>
      <w:pStyle w:val="Heading2"/>
    </w:pPr>
    <w:r w:rsidRPr="007D28D6">
      <w:rPr>
        <w:rFonts w:hint="cs"/>
        <w:rtl/>
      </w:rPr>
      <w:t>كيف</w:t>
    </w:r>
    <w:r w:rsidR="00AC0B4B">
      <w:rPr>
        <w:rFonts w:hint="cs"/>
        <w:rtl/>
      </w:rPr>
      <w:t>ية</w:t>
    </w:r>
    <w:r w:rsidRPr="007D28D6">
      <w:rPr>
        <w:rFonts w:hint="cs"/>
        <w:rtl/>
      </w:rPr>
      <w:t xml:space="preserve"> استخدام اسفي</w:t>
    </w:r>
    <w:r w:rsidR="00AC0B4B">
      <w:rPr>
        <w:rFonts w:hint="cs"/>
        <w:rtl/>
      </w:rPr>
      <w:t>ر في دعم مشاركة السلطات الوطنية</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02082DCA"/>
    <w:multiLevelType w:val="hybridMultilevel"/>
    <w:tmpl w:val="C1EAB630"/>
    <w:lvl w:ilvl="0" w:tplc="97CCFBDE">
      <w:start w:val="1"/>
      <w:numFmt w:val="bullet"/>
      <w:lvlText w:val="–"/>
      <w:lvlJc w:val="left"/>
      <w:pPr>
        <w:ind w:left="284" w:hanging="284"/>
      </w:pPr>
      <w:rPr>
        <w:rFonts w:ascii="Times New Roman" w:hAnsi="Times New Roman" w:cs="Times New Roman" w:hint="default"/>
        <w:color w:val="0065A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3">
    <w:nsid w:val="09D97E8C"/>
    <w:multiLevelType w:val="hybridMultilevel"/>
    <w:tmpl w:val="6BB2EF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0D7DD3"/>
    <w:multiLevelType w:val="hybridMultilevel"/>
    <w:tmpl w:val="878EC716"/>
    <w:lvl w:ilvl="0" w:tplc="BD68BE1C">
      <w:start w:val="1"/>
      <w:numFmt w:val="bullet"/>
      <w:lvlText w:val=""/>
      <w:lvlJc w:val="left"/>
      <w:pPr>
        <w:ind w:left="360" w:hanging="360"/>
      </w:pPr>
      <w:rPr>
        <w:rFonts w:ascii="Symbol" w:hAnsi="Symbol" w:cs="Symbol" w:hint="default"/>
        <w:b w:val="0"/>
        <w:i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25672F"/>
    <w:multiLevelType w:val="hybridMultilevel"/>
    <w:tmpl w:val="1B9820A0"/>
    <w:lvl w:ilvl="0" w:tplc="A6F0BB26">
      <w:start w:val="1"/>
      <w:numFmt w:val="bullet"/>
      <w:lvlText w:val=""/>
      <w:lvlJc w:val="left"/>
      <w:pPr>
        <w:ind w:left="360" w:hanging="360"/>
      </w:pPr>
      <w:rPr>
        <w:rFonts w:ascii="Symbol" w:hAnsi="Symbol" w:cs="Symbol" w:hint="default"/>
        <w:b w:val="0"/>
        <w:bCs w:val="0"/>
        <w:i w:val="0"/>
        <w:iCs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750E3A"/>
    <w:multiLevelType w:val="hybridMultilevel"/>
    <w:tmpl w:val="1D0C9D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7B977D9"/>
    <w:multiLevelType w:val="hybridMultilevel"/>
    <w:tmpl w:val="6DF84208"/>
    <w:lvl w:ilvl="0" w:tplc="EC18074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51980635"/>
    <w:multiLevelType w:val="multilevel"/>
    <w:tmpl w:val="0DC22FB2"/>
    <w:lvl w:ilvl="0">
      <w:start w:val="1"/>
      <w:numFmt w:val="bullet"/>
      <w:lvlText w:val=""/>
      <w:lvlJc w:val="left"/>
      <w:pPr>
        <w:ind w:left="284" w:hanging="284"/>
      </w:pPr>
      <w:rPr>
        <w:rFonts w:ascii="Symbol" w:hAnsi="Symbol" w:hint="default"/>
        <w:color w:val="004386" w:themeColor="text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2"/>
  </w:num>
  <w:num w:numId="4">
    <w:abstractNumId w:val="2"/>
  </w:num>
  <w:num w:numId="5">
    <w:abstractNumId w:val="2"/>
  </w:num>
  <w:num w:numId="6">
    <w:abstractNumId w:val="2"/>
  </w:num>
  <w:num w:numId="7">
    <w:abstractNumId w:val="0"/>
  </w:num>
  <w:num w:numId="8">
    <w:abstractNumId w:val="14"/>
  </w:num>
  <w:num w:numId="9">
    <w:abstractNumId w:val="7"/>
  </w:num>
  <w:num w:numId="10">
    <w:abstractNumId w:val="12"/>
  </w:num>
  <w:num w:numId="11">
    <w:abstractNumId w:val="4"/>
  </w:num>
  <w:num w:numId="12">
    <w:abstractNumId w:val="9"/>
  </w:num>
  <w:num w:numId="13">
    <w:abstractNumId w:val="8"/>
  </w:num>
  <w:num w:numId="14">
    <w:abstractNumId w:val="5"/>
  </w:num>
  <w:num w:numId="15">
    <w:abstractNumId w:val="6"/>
  </w:num>
  <w:num w:numId="16">
    <w:abstractNumId w:val="5"/>
  </w:num>
  <w:num w:numId="17">
    <w:abstractNumId w:val="6"/>
  </w:num>
  <w:num w:numId="18">
    <w:abstractNumId w:val="13"/>
  </w:num>
  <w:num w:numId="19">
    <w:abstractNumId w:val="1"/>
  </w:num>
  <w:num w:numId="20">
    <w:abstractNumId w:val="11"/>
  </w:num>
  <w:num w:numId="21">
    <w:abstractNumId w:val="5"/>
  </w:num>
  <w:num w:numId="22">
    <w:abstractNumId w:val="6"/>
  </w:num>
  <w:num w:numId="23">
    <w:abstractNumId w:val="3"/>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US" w:vendorID="64" w:dllVersion="131078" w:nlCheck="1" w:checkStyle="1"/>
  <w:activeWritingStyle w:appName="MSWord" w:lang="en-GB" w:vendorID="64" w:dllVersion="131078" w:nlCheck="1" w:checkStyle="1"/>
  <w:activeWritingStyle w:appName="MSWord" w:lang="ar-SA" w:vendorID="64" w:dllVersion="131078" w:nlCheck="1" w:checkStyle="0"/>
  <w:activeWritingStyle w:appName="MSWord" w:lang="ar-AE" w:vendorID="64" w:dllVersion="131078" w:nlCheck="1" w:checkStyle="0"/>
  <w:activeWritingStyle w:appName="MSWord" w:lang="ar-TN" w:vendorID="64" w:dllVersion="131078" w:nlCheck="1" w:checkStyle="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146"/>
    <w:rsid w:val="000A0298"/>
    <w:rsid w:val="000F5F87"/>
    <w:rsid w:val="00124ABA"/>
    <w:rsid w:val="0013229F"/>
    <w:rsid w:val="00144112"/>
    <w:rsid w:val="0015588F"/>
    <w:rsid w:val="001713BA"/>
    <w:rsid w:val="001740C0"/>
    <w:rsid w:val="00175CA3"/>
    <w:rsid w:val="001869EC"/>
    <w:rsid w:val="001A072E"/>
    <w:rsid w:val="001A56C9"/>
    <w:rsid w:val="001B1264"/>
    <w:rsid w:val="001C018B"/>
    <w:rsid w:val="001C7F2F"/>
    <w:rsid w:val="001D0724"/>
    <w:rsid w:val="001D7A65"/>
    <w:rsid w:val="001F7F75"/>
    <w:rsid w:val="00200D4D"/>
    <w:rsid w:val="00205074"/>
    <w:rsid w:val="002201FF"/>
    <w:rsid w:val="00225983"/>
    <w:rsid w:val="002333D3"/>
    <w:rsid w:val="00237D09"/>
    <w:rsid w:val="00241992"/>
    <w:rsid w:val="002848CC"/>
    <w:rsid w:val="002933E5"/>
    <w:rsid w:val="002958E2"/>
    <w:rsid w:val="002A1AD8"/>
    <w:rsid w:val="002A2449"/>
    <w:rsid w:val="002D3B86"/>
    <w:rsid w:val="002F2B87"/>
    <w:rsid w:val="0030064E"/>
    <w:rsid w:val="00314ADC"/>
    <w:rsid w:val="00315E11"/>
    <w:rsid w:val="00345563"/>
    <w:rsid w:val="00370153"/>
    <w:rsid w:val="003731BD"/>
    <w:rsid w:val="00395A21"/>
    <w:rsid w:val="003A4483"/>
    <w:rsid w:val="003C469E"/>
    <w:rsid w:val="003C5331"/>
    <w:rsid w:val="003E013F"/>
    <w:rsid w:val="003E2279"/>
    <w:rsid w:val="003E2DB9"/>
    <w:rsid w:val="003F0EB3"/>
    <w:rsid w:val="004119CA"/>
    <w:rsid w:val="004231C3"/>
    <w:rsid w:val="004268A2"/>
    <w:rsid w:val="0043797B"/>
    <w:rsid w:val="004545D5"/>
    <w:rsid w:val="0045590B"/>
    <w:rsid w:val="00463DB5"/>
    <w:rsid w:val="0048194C"/>
    <w:rsid w:val="004A6B0C"/>
    <w:rsid w:val="004B3B43"/>
    <w:rsid w:val="004C7C73"/>
    <w:rsid w:val="004D7062"/>
    <w:rsid w:val="004F1D9A"/>
    <w:rsid w:val="0050225B"/>
    <w:rsid w:val="0050633D"/>
    <w:rsid w:val="00524F62"/>
    <w:rsid w:val="00535CE0"/>
    <w:rsid w:val="00563DAB"/>
    <w:rsid w:val="005751FD"/>
    <w:rsid w:val="005753BC"/>
    <w:rsid w:val="00575F9D"/>
    <w:rsid w:val="005A4C74"/>
    <w:rsid w:val="005B6782"/>
    <w:rsid w:val="005F6AEE"/>
    <w:rsid w:val="00601FF7"/>
    <w:rsid w:val="00614202"/>
    <w:rsid w:val="00620E7C"/>
    <w:rsid w:val="0063519D"/>
    <w:rsid w:val="00637110"/>
    <w:rsid w:val="00673426"/>
    <w:rsid w:val="00690F64"/>
    <w:rsid w:val="006C099B"/>
    <w:rsid w:val="006D149B"/>
    <w:rsid w:val="006E74C4"/>
    <w:rsid w:val="007030AE"/>
    <w:rsid w:val="00714CE1"/>
    <w:rsid w:val="00715CA8"/>
    <w:rsid w:val="0072079E"/>
    <w:rsid w:val="00731755"/>
    <w:rsid w:val="00761400"/>
    <w:rsid w:val="00775878"/>
    <w:rsid w:val="00781146"/>
    <w:rsid w:val="00792B8B"/>
    <w:rsid w:val="007A255B"/>
    <w:rsid w:val="007A4412"/>
    <w:rsid w:val="007A7ACB"/>
    <w:rsid w:val="007B3E00"/>
    <w:rsid w:val="007D28D6"/>
    <w:rsid w:val="007E479A"/>
    <w:rsid w:val="00810AFF"/>
    <w:rsid w:val="00811B63"/>
    <w:rsid w:val="00816A31"/>
    <w:rsid w:val="00825D04"/>
    <w:rsid w:val="008260A5"/>
    <w:rsid w:val="008647F3"/>
    <w:rsid w:val="008652CA"/>
    <w:rsid w:val="00874F53"/>
    <w:rsid w:val="0087787A"/>
    <w:rsid w:val="00891199"/>
    <w:rsid w:val="008A73AE"/>
    <w:rsid w:val="008B4444"/>
    <w:rsid w:val="008B7D3C"/>
    <w:rsid w:val="008D3721"/>
    <w:rsid w:val="008D7DFF"/>
    <w:rsid w:val="008F2C63"/>
    <w:rsid w:val="008F7DE8"/>
    <w:rsid w:val="0090172B"/>
    <w:rsid w:val="0090692F"/>
    <w:rsid w:val="00907D36"/>
    <w:rsid w:val="00925784"/>
    <w:rsid w:val="00937519"/>
    <w:rsid w:val="009516C3"/>
    <w:rsid w:val="00966E5E"/>
    <w:rsid w:val="00971AD2"/>
    <w:rsid w:val="00981544"/>
    <w:rsid w:val="0098193F"/>
    <w:rsid w:val="00995549"/>
    <w:rsid w:val="009C632B"/>
    <w:rsid w:val="009C6C4F"/>
    <w:rsid w:val="009C6DB8"/>
    <w:rsid w:val="009D6A86"/>
    <w:rsid w:val="009D7027"/>
    <w:rsid w:val="009E270C"/>
    <w:rsid w:val="00A44283"/>
    <w:rsid w:val="00A46634"/>
    <w:rsid w:val="00A80DF5"/>
    <w:rsid w:val="00A86669"/>
    <w:rsid w:val="00A93E89"/>
    <w:rsid w:val="00A95124"/>
    <w:rsid w:val="00AA34EC"/>
    <w:rsid w:val="00AB088B"/>
    <w:rsid w:val="00AC0B4B"/>
    <w:rsid w:val="00AC3F99"/>
    <w:rsid w:val="00AD30D2"/>
    <w:rsid w:val="00AF36C0"/>
    <w:rsid w:val="00B40995"/>
    <w:rsid w:val="00B548D1"/>
    <w:rsid w:val="00B572C2"/>
    <w:rsid w:val="00B67A3C"/>
    <w:rsid w:val="00B70E34"/>
    <w:rsid w:val="00B91AAC"/>
    <w:rsid w:val="00BE3D5B"/>
    <w:rsid w:val="00C0309C"/>
    <w:rsid w:val="00C07E50"/>
    <w:rsid w:val="00C14E1D"/>
    <w:rsid w:val="00C32D00"/>
    <w:rsid w:val="00C35B0F"/>
    <w:rsid w:val="00C507F3"/>
    <w:rsid w:val="00C87457"/>
    <w:rsid w:val="00CA4211"/>
    <w:rsid w:val="00D064C5"/>
    <w:rsid w:val="00D221A6"/>
    <w:rsid w:val="00D54219"/>
    <w:rsid w:val="00D56A64"/>
    <w:rsid w:val="00D74F27"/>
    <w:rsid w:val="00D90736"/>
    <w:rsid w:val="00DD0F73"/>
    <w:rsid w:val="00DE202F"/>
    <w:rsid w:val="00DE210D"/>
    <w:rsid w:val="00DE21D3"/>
    <w:rsid w:val="00DF2534"/>
    <w:rsid w:val="00E15219"/>
    <w:rsid w:val="00E16705"/>
    <w:rsid w:val="00E2620E"/>
    <w:rsid w:val="00E26D30"/>
    <w:rsid w:val="00E71C66"/>
    <w:rsid w:val="00E8474E"/>
    <w:rsid w:val="00EA1F0B"/>
    <w:rsid w:val="00EB14C9"/>
    <w:rsid w:val="00EE535D"/>
    <w:rsid w:val="00F1572B"/>
    <w:rsid w:val="00F4287D"/>
    <w:rsid w:val="00F51600"/>
    <w:rsid w:val="00F52152"/>
    <w:rsid w:val="00F620B9"/>
    <w:rsid w:val="00F66ABC"/>
    <w:rsid w:val="00F67F82"/>
    <w:rsid w:val="00F97BB3"/>
    <w:rsid w:val="00FC6CC5"/>
    <w:rsid w:val="00FF59C2"/>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E03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
    <w:qFormat/>
    <w:rsid w:val="007D28D6"/>
    <w:pPr>
      <w:keepLines/>
      <w:bidi/>
      <w:spacing w:before="160"/>
    </w:pPr>
    <w:rPr>
      <w:rFonts w:ascii="Traditional Arabic" w:hAnsi="Traditional Arabic" w:cs="Traditional Arabic"/>
      <w:sz w:val="24"/>
      <w:szCs w:val="28"/>
      <w:lang w:val="en-GB" w:eastAsia="es-ES"/>
    </w:rPr>
  </w:style>
  <w:style w:type="paragraph" w:styleId="Heading1">
    <w:name w:val="heading 1"/>
    <w:aliases w:val="h1"/>
    <w:basedOn w:val="Normal"/>
    <w:next w:val="Normal"/>
    <w:link w:val="Heading1Char"/>
    <w:qFormat/>
    <w:rsid w:val="007D28D6"/>
    <w:pPr>
      <w:keepNext/>
      <w:tabs>
        <w:tab w:val="right" w:pos="9356"/>
      </w:tabs>
      <w:spacing w:before="0"/>
      <w:outlineLvl w:val="0"/>
    </w:pPr>
    <w:rPr>
      <w:rFonts w:eastAsiaTheme="majorEastAsia"/>
      <w:b/>
      <w:bCs/>
      <w:color w:val="004386"/>
      <w:kern w:val="32"/>
      <w:sz w:val="36"/>
      <w:szCs w:val="32"/>
    </w:rPr>
  </w:style>
  <w:style w:type="paragraph" w:styleId="Heading2">
    <w:name w:val="heading 2"/>
    <w:aliases w:val="h2"/>
    <w:basedOn w:val="Heading1"/>
    <w:next w:val="Normal"/>
    <w:link w:val="Heading2Char"/>
    <w:qFormat/>
    <w:rsid w:val="007D28D6"/>
    <w:pPr>
      <w:pBdr>
        <w:bottom w:val="single" w:sz="4" w:space="4" w:color="004386" w:themeColor="text2"/>
      </w:pBdr>
      <w:spacing w:before="80"/>
      <w:outlineLvl w:val="1"/>
    </w:pPr>
    <w:rPr>
      <w:bCs w:val="0"/>
      <w:i/>
      <w:iCs/>
      <w:color w:val="004386" w:themeColor="text2"/>
    </w:rPr>
  </w:style>
  <w:style w:type="paragraph" w:styleId="Heading3">
    <w:name w:val="heading 3"/>
    <w:aliases w:val="h3"/>
    <w:basedOn w:val="Heading2"/>
    <w:next w:val="Normal"/>
    <w:link w:val="Heading3Char"/>
    <w:qFormat/>
    <w:rsid w:val="007D28D6"/>
    <w:pPr>
      <w:pBdr>
        <w:bottom w:val="none" w:sz="0" w:space="0" w:color="auto"/>
      </w:pBdr>
      <w:spacing w:before="320"/>
      <w:outlineLvl w:val="2"/>
    </w:pPr>
    <w:rPr>
      <w:bCs/>
      <w:i w:val="0"/>
      <w:iCs w:val="0"/>
      <w:sz w:val="28"/>
      <w:szCs w:val="36"/>
    </w:rPr>
  </w:style>
  <w:style w:type="paragraph" w:styleId="Heading4">
    <w:name w:val="heading 4"/>
    <w:aliases w:val="h4"/>
    <w:basedOn w:val="Heading3"/>
    <w:next w:val="Normal"/>
    <w:link w:val="Heading4Char"/>
    <w:qFormat/>
    <w:rsid w:val="007D28D6"/>
    <w:pPr>
      <w:spacing w:before="240"/>
      <w:outlineLvl w:val="3"/>
    </w:pPr>
    <w:rPr>
      <w:rFonts w:eastAsia="Traditional Arabic"/>
      <w:szCs w:val="32"/>
    </w:rPr>
  </w:style>
  <w:style w:type="paragraph" w:styleId="Heading5">
    <w:name w:val="heading 5"/>
    <w:basedOn w:val="Normal"/>
    <w:next w:val="Normal"/>
    <w:link w:val="Heading5Char"/>
    <w:qFormat/>
    <w:rsid w:val="007D28D6"/>
    <w:pPr>
      <w:keepNext/>
      <w:spacing w:before="320"/>
      <w:outlineLvl w:val="4"/>
    </w:pPr>
    <w:rPr>
      <w:b/>
      <w:bCs/>
      <w:color w:val="004386" w:themeColor="text2"/>
    </w:rPr>
  </w:style>
  <w:style w:type="paragraph" w:styleId="Heading6">
    <w:name w:val="heading 6"/>
    <w:basedOn w:val="Normal"/>
    <w:next w:val="Normal"/>
    <w:link w:val="Heading6Char"/>
    <w:uiPriority w:val="9"/>
    <w:unhideWhenUsed/>
    <w:qFormat/>
    <w:rsid w:val="007D28D6"/>
    <w:pPr>
      <w:keepNext/>
      <w:spacing w:before="40"/>
      <w:outlineLvl w:val="5"/>
    </w:pPr>
    <w:rPr>
      <w:rFonts w:asciiTheme="majorHAnsi" w:eastAsiaTheme="majorEastAsia" w:hAnsiTheme="majorHAnsi" w:cstheme="majorBidi"/>
      <w:color w:val="2B4902"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7D28D6"/>
    <w:rPr>
      <w:rFonts w:ascii="Traditional Arabic" w:eastAsiaTheme="majorEastAsia" w:hAnsi="Traditional Arabic" w:cs="Traditional Arabic"/>
      <w:b/>
      <w:bCs/>
      <w:color w:val="004386"/>
      <w:kern w:val="32"/>
      <w:sz w:val="36"/>
      <w:szCs w:val="32"/>
      <w:lang w:val="en-GB" w:eastAsia="es-ES"/>
    </w:rPr>
  </w:style>
  <w:style w:type="character" w:customStyle="1" w:styleId="Heading2Char">
    <w:name w:val="Heading 2 Char"/>
    <w:aliases w:val="h2 Char"/>
    <w:basedOn w:val="DefaultParagraphFont"/>
    <w:link w:val="Heading2"/>
    <w:rsid w:val="007D28D6"/>
    <w:rPr>
      <w:rFonts w:ascii="Traditional Arabic" w:eastAsiaTheme="majorEastAsia" w:hAnsi="Traditional Arabic" w:cs="Traditional Arabic"/>
      <w:b/>
      <w:i/>
      <w:iCs/>
      <w:color w:val="004386" w:themeColor="text2"/>
      <w:kern w:val="32"/>
      <w:sz w:val="36"/>
      <w:szCs w:val="32"/>
      <w:lang w:val="en-GB" w:eastAsia="es-ES"/>
    </w:rPr>
  </w:style>
  <w:style w:type="character" w:customStyle="1" w:styleId="Heading3Char">
    <w:name w:val="Heading 3 Char"/>
    <w:aliases w:val="h3 Char"/>
    <w:basedOn w:val="DefaultParagraphFont"/>
    <w:link w:val="Heading3"/>
    <w:rsid w:val="007D28D6"/>
    <w:rPr>
      <w:rFonts w:ascii="Traditional Arabic" w:eastAsiaTheme="majorEastAsia" w:hAnsi="Traditional Arabic" w:cs="Traditional Arabic"/>
      <w:b/>
      <w:bCs/>
      <w:color w:val="004386" w:themeColor="text2"/>
      <w:kern w:val="32"/>
      <w:sz w:val="28"/>
      <w:szCs w:val="36"/>
      <w:lang w:val="en-GB" w:eastAsia="es-ES"/>
    </w:rPr>
  </w:style>
  <w:style w:type="character" w:customStyle="1" w:styleId="Heading4Char">
    <w:name w:val="Heading 4 Char"/>
    <w:aliases w:val="h4 Char"/>
    <w:basedOn w:val="DefaultParagraphFont"/>
    <w:link w:val="Heading4"/>
    <w:rsid w:val="007D28D6"/>
    <w:rPr>
      <w:rFonts w:ascii="Traditional Arabic" w:eastAsia="Traditional Arabic" w:hAnsi="Traditional Arabic" w:cs="Traditional Arabic"/>
      <w:b/>
      <w:bCs/>
      <w:color w:val="004386" w:themeColor="text2"/>
      <w:kern w:val="32"/>
      <w:sz w:val="28"/>
      <w:szCs w:val="32"/>
      <w:lang w:val="en-GB" w:eastAsia="es-ES"/>
    </w:rPr>
  </w:style>
  <w:style w:type="character" w:customStyle="1" w:styleId="Heading5Char">
    <w:name w:val="Heading 5 Char"/>
    <w:basedOn w:val="DefaultParagraphFont"/>
    <w:link w:val="Heading5"/>
    <w:rsid w:val="007D28D6"/>
    <w:rPr>
      <w:rFonts w:ascii="Traditional Arabic" w:hAnsi="Traditional Arabic" w:cs="Traditional Arabic"/>
      <w:b/>
      <w:bCs/>
      <w:color w:val="004386" w:themeColor="text2"/>
      <w:sz w:val="24"/>
      <w:szCs w:val="28"/>
      <w:lang w:val="en-GB" w:eastAsia="es-ES"/>
    </w:rPr>
  </w:style>
  <w:style w:type="paragraph" w:styleId="BalloonText">
    <w:name w:val="Balloon Text"/>
    <w:basedOn w:val="Normal"/>
    <w:link w:val="BalloonTextChar"/>
    <w:uiPriority w:val="99"/>
    <w:semiHidden/>
    <w:unhideWhenUsed/>
    <w:rsid w:val="007D28D6"/>
    <w:pPr>
      <w:spacing w:before="0"/>
    </w:pPr>
    <w:rPr>
      <w:rFonts w:cs="Tahoma"/>
      <w:sz w:val="16"/>
      <w:szCs w:val="16"/>
    </w:rPr>
  </w:style>
  <w:style w:type="character" w:customStyle="1" w:styleId="BalloonTextChar">
    <w:name w:val="Balloon Text Char"/>
    <w:basedOn w:val="DefaultParagraphFont"/>
    <w:link w:val="BalloonText"/>
    <w:uiPriority w:val="99"/>
    <w:semiHidden/>
    <w:rsid w:val="007D28D6"/>
    <w:rPr>
      <w:rFonts w:ascii="Traditional Arabic" w:hAnsi="Traditional Arabic" w:cs="Tahoma"/>
      <w:sz w:val="16"/>
      <w:szCs w:val="16"/>
      <w:lang w:val="en-GB" w:eastAsia="es-ES"/>
    </w:rPr>
  </w:style>
  <w:style w:type="paragraph" w:customStyle="1" w:styleId="bullet">
    <w:name w:val="bullet"/>
    <w:aliases w:val="b"/>
    <w:basedOn w:val="Normal"/>
    <w:qFormat/>
    <w:rsid w:val="007D28D6"/>
    <w:pPr>
      <w:spacing w:before="80"/>
      <w:ind w:left="284" w:hanging="284"/>
    </w:pPr>
  </w:style>
  <w:style w:type="paragraph" w:styleId="Caption">
    <w:name w:val="caption"/>
    <w:basedOn w:val="Normal"/>
    <w:next w:val="Normal"/>
    <w:uiPriority w:val="35"/>
    <w:semiHidden/>
    <w:qFormat/>
    <w:rsid w:val="007D28D6"/>
    <w:pPr>
      <w:spacing w:before="0" w:after="200"/>
    </w:pPr>
    <w:rPr>
      <w:rFonts w:eastAsiaTheme="minorHAnsi" w:cstheme="minorBidi"/>
      <w:b/>
      <w:color w:val="579305" w:themeColor="accent1"/>
      <w:sz w:val="18"/>
      <w:szCs w:val="18"/>
      <w:lang w:eastAsia="en-US"/>
    </w:rPr>
  </w:style>
  <w:style w:type="character" w:styleId="CommentReference">
    <w:name w:val="annotation reference"/>
    <w:basedOn w:val="DefaultParagraphFont"/>
    <w:uiPriority w:val="99"/>
    <w:semiHidden/>
    <w:unhideWhenUsed/>
    <w:rsid w:val="007D28D6"/>
    <w:rPr>
      <w:sz w:val="16"/>
      <w:szCs w:val="16"/>
    </w:rPr>
  </w:style>
  <w:style w:type="paragraph" w:styleId="CommentText">
    <w:name w:val="annotation text"/>
    <w:basedOn w:val="Normal"/>
    <w:link w:val="CommentTextChar"/>
    <w:uiPriority w:val="99"/>
    <w:semiHidden/>
    <w:unhideWhenUsed/>
    <w:rsid w:val="007D28D6"/>
    <w:rPr>
      <w:szCs w:val="20"/>
    </w:rPr>
  </w:style>
  <w:style w:type="character" w:customStyle="1" w:styleId="CommentTextChar">
    <w:name w:val="Comment Text Char"/>
    <w:basedOn w:val="DefaultParagraphFont"/>
    <w:link w:val="CommentText"/>
    <w:uiPriority w:val="99"/>
    <w:semiHidden/>
    <w:rsid w:val="007D28D6"/>
    <w:rPr>
      <w:rFonts w:ascii="Traditional Arabic" w:hAnsi="Traditional Arabic" w:cs="Traditional Arabic"/>
      <w:sz w:val="24"/>
      <w:lang w:val="en-GB" w:eastAsia="es-ES"/>
    </w:rPr>
  </w:style>
  <w:style w:type="paragraph" w:styleId="CommentSubject">
    <w:name w:val="annotation subject"/>
    <w:basedOn w:val="CommentText"/>
    <w:next w:val="CommentText"/>
    <w:link w:val="CommentSubjectChar"/>
    <w:uiPriority w:val="99"/>
    <w:semiHidden/>
    <w:unhideWhenUsed/>
    <w:rsid w:val="007D28D6"/>
    <w:rPr>
      <w:b/>
    </w:rPr>
  </w:style>
  <w:style w:type="character" w:customStyle="1" w:styleId="CommentSubjectChar">
    <w:name w:val="Comment Subject Char"/>
    <w:basedOn w:val="CommentTextChar"/>
    <w:link w:val="CommentSubject"/>
    <w:uiPriority w:val="99"/>
    <w:semiHidden/>
    <w:rsid w:val="007D28D6"/>
    <w:rPr>
      <w:rFonts w:ascii="Traditional Arabic" w:hAnsi="Traditional Arabic" w:cs="Traditional Arabic"/>
      <w:b/>
      <w:sz w:val="24"/>
      <w:lang w:val="en-GB" w:eastAsia="es-ES"/>
    </w:rPr>
  </w:style>
  <w:style w:type="character" w:styleId="Emphasis">
    <w:name w:val="Emphasis"/>
    <w:uiPriority w:val="99"/>
    <w:qFormat/>
    <w:rsid w:val="007D28D6"/>
    <w:rPr>
      <w:b/>
      <w:i w:val="0"/>
      <w:iCs/>
    </w:rPr>
  </w:style>
  <w:style w:type="character" w:styleId="FollowedHyperlink">
    <w:name w:val="FollowedHyperlink"/>
    <w:basedOn w:val="DefaultParagraphFont"/>
    <w:uiPriority w:val="99"/>
    <w:semiHidden/>
    <w:unhideWhenUsed/>
    <w:rsid w:val="007D28D6"/>
    <w:rPr>
      <w:color w:val="004386"/>
      <w:u w:val="single"/>
    </w:rPr>
  </w:style>
  <w:style w:type="paragraph" w:styleId="Footer">
    <w:name w:val="footer"/>
    <w:basedOn w:val="Normal"/>
    <w:link w:val="FooterChar"/>
    <w:rsid w:val="007D28D6"/>
    <w:pPr>
      <w:pBdr>
        <w:top w:val="single" w:sz="4" w:space="4" w:color="004386" w:themeColor="text2"/>
      </w:pBdr>
      <w:tabs>
        <w:tab w:val="right" w:pos="9356"/>
      </w:tabs>
      <w:spacing w:before="0"/>
    </w:pPr>
    <w:rPr>
      <w:color w:val="004386" w:themeColor="text2"/>
    </w:rPr>
  </w:style>
  <w:style w:type="character" w:customStyle="1" w:styleId="FooterChar">
    <w:name w:val="Footer Char"/>
    <w:basedOn w:val="DefaultParagraphFont"/>
    <w:link w:val="Footer"/>
    <w:rsid w:val="007D28D6"/>
    <w:rPr>
      <w:rFonts w:ascii="Traditional Arabic" w:hAnsi="Traditional Arabic" w:cs="Traditional Arabic"/>
      <w:color w:val="004386" w:themeColor="text2"/>
      <w:sz w:val="24"/>
      <w:szCs w:val="28"/>
      <w:lang w:val="en-GB" w:eastAsia="es-ES"/>
    </w:rPr>
  </w:style>
  <w:style w:type="character" w:styleId="FootnoteReference">
    <w:name w:val="footnote reference"/>
    <w:basedOn w:val="DefaultParagraphFont"/>
    <w:rsid w:val="007D28D6"/>
    <w:rPr>
      <w:vertAlign w:val="superscript"/>
    </w:rPr>
  </w:style>
  <w:style w:type="paragraph" w:styleId="FootnoteText">
    <w:name w:val="footnote text"/>
    <w:basedOn w:val="Normal"/>
    <w:link w:val="FootnoteTextChar"/>
    <w:rsid w:val="007D28D6"/>
    <w:pPr>
      <w:spacing w:before="0"/>
    </w:pPr>
    <w:rPr>
      <w:sz w:val="20"/>
      <w:szCs w:val="20"/>
    </w:rPr>
  </w:style>
  <w:style w:type="character" w:customStyle="1" w:styleId="FootnoteTextChar">
    <w:name w:val="Footnote Text Char"/>
    <w:basedOn w:val="DefaultParagraphFont"/>
    <w:link w:val="FootnoteText"/>
    <w:rsid w:val="007D28D6"/>
    <w:rPr>
      <w:rFonts w:ascii="Traditional Arabic" w:hAnsi="Traditional Arabic" w:cs="Traditional Arabic"/>
      <w:lang w:val="en-GB" w:eastAsia="es-ES"/>
    </w:rPr>
  </w:style>
  <w:style w:type="paragraph" w:styleId="Header">
    <w:name w:val="header"/>
    <w:basedOn w:val="Normal"/>
    <w:link w:val="HeaderChar"/>
    <w:rsid w:val="007D28D6"/>
    <w:pPr>
      <w:pBdr>
        <w:bottom w:val="single" w:sz="4" w:space="4" w:color="004386" w:themeColor="text2"/>
      </w:pBdr>
      <w:tabs>
        <w:tab w:val="center" w:pos="4320"/>
        <w:tab w:val="right" w:pos="8640"/>
      </w:tabs>
      <w:spacing w:before="0"/>
    </w:pPr>
    <w:rPr>
      <w:b/>
      <w:bCs/>
      <w:color w:val="579305" w:themeColor="accent1"/>
      <w:sz w:val="28"/>
      <w:lang w:val="fr-FR" w:eastAsia="en-US" w:bidi="ar-TN"/>
    </w:rPr>
  </w:style>
  <w:style w:type="character" w:customStyle="1" w:styleId="HeaderChar">
    <w:name w:val="Header Char"/>
    <w:basedOn w:val="DefaultParagraphFont"/>
    <w:link w:val="Header"/>
    <w:rsid w:val="007D28D6"/>
    <w:rPr>
      <w:rFonts w:ascii="Traditional Arabic" w:hAnsi="Traditional Arabic" w:cs="Traditional Arabic"/>
      <w:b/>
      <w:bCs/>
      <w:color w:val="579305" w:themeColor="accent1"/>
      <w:sz w:val="28"/>
      <w:szCs w:val="28"/>
      <w:lang w:bidi="ar-TN"/>
    </w:rPr>
  </w:style>
  <w:style w:type="character" w:customStyle="1" w:styleId="Heading6Char">
    <w:name w:val="Heading 6 Char"/>
    <w:basedOn w:val="DefaultParagraphFont"/>
    <w:link w:val="Heading6"/>
    <w:uiPriority w:val="9"/>
    <w:rsid w:val="007D28D6"/>
    <w:rPr>
      <w:rFonts w:asciiTheme="majorHAnsi" w:eastAsiaTheme="majorEastAsia" w:hAnsiTheme="majorHAnsi" w:cstheme="majorBidi"/>
      <w:color w:val="2B4902" w:themeColor="accent1" w:themeShade="7F"/>
      <w:sz w:val="24"/>
      <w:szCs w:val="28"/>
      <w:lang w:val="en-GB" w:eastAsia="es-ES"/>
    </w:rPr>
  </w:style>
  <w:style w:type="character" w:styleId="Hyperlink">
    <w:name w:val="Hyperlink"/>
    <w:basedOn w:val="DefaultParagraphFont"/>
    <w:rsid w:val="007D28D6"/>
    <w:rPr>
      <w:color w:val="004386" w:themeColor="hyperlink"/>
      <w:u w:val="single" w:color="004386" w:themeColor="text2"/>
    </w:rPr>
  </w:style>
  <w:style w:type="paragraph" w:customStyle="1" w:styleId="table">
    <w:name w:val="table"/>
    <w:aliases w:val="t"/>
    <w:basedOn w:val="Normal"/>
    <w:qFormat/>
    <w:rsid w:val="002A2449"/>
    <w:pPr>
      <w:spacing w:after="40" w:line="216" w:lineRule="auto"/>
    </w:pPr>
    <w:rPr>
      <w:sz w:val="22"/>
    </w:rPr>
  </w:style>
  <w:style w:type="paragraph" w:customStyle="1" w:styleId="Latinurl">
    <w:name w:val="Latin url"/>
    <w:basedOn w:val="table"/>
    <w:qFormat/>
    <w:rsid w:val="007D28D6"/>
    <w:rPr>
      <w:rFonts w:ascii="Calibri" w:hAnsi="Calibri"/>
      <w:szCs w:val="22"/>
    </w:rPr>
  </w:style>
  <w:style w:type="paragraph" w:styleId="ListParagraph">
    <w:name w:val="List Paragraph"/>
    <w:basedOn w:val="Normal"/>
    <w:uiPriority w:val="34"/>
    <w:qFormat/>
    <w:rsid w:val="007D28D6"/>
    <w:pPr>
      <w:ind w:left="720"/>
      <w:contextualSpacing/>
    </w:pPr>
  </w:style>
  <w:style w:type="paragraph" w:customStyle="1" w:styleId="Moduledescription">
    <w:name w:val="Module description"/>
    <w:basedOn w:val="Normal"/>
    <w:qFormat/>
    <w:rsid w:val="007D28D6"/>
    <w:rPr>
      <w:b/>
      <w:bCs/>
      <w:color w:val="579305" w:themeColor="accent1"/>
    </w:rPr>
  </w:style>
  <w:style w:type="character" w:styleId="PageNumber">
    <w:name w:val="page number"/>
    <w:basedOn w:val="DefaultParagraphFont"/>
    <w:uiPriority w:val="99"/>
    <w:semiHidden/>
    <w:unhideWhenUsed/>
    <w:rsid w:val="007D28D6"/>
    <w:rPr>
      <w:rFonts w:asciiTheme="minorHAnsi" w:hAnsiTheme="minorHAnsi"/>
    </w:rPr>
  </w:style>
  <w:style w:type="paragraph" w:customStyle="1" w:styleId="tablebullet">
    <w:name w:val="table bullet"/>
    <w:basedOn w:val="table"/>
    <w:qFormat/>
    <w:rsid w:val="007D28D6"/>
    <w:pPr>
      <w:spacing w:after="0"/>
    </w:pPr>
  </w:style>
  <w:style w:type="table" w:styleId="TableGrid">
    <w:name w:val="Table Grid"/>
    <w:basedOn w:val="TableNormal"/>
    <w:uiPriority w:val="59"/>
    <w:rsid w:val="007D28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aliases w:val="th"/>
    <w:basedOn w:val="table"/>
    <w:qFormat/>
    <w:rsid w:val="002A2449"/>
    <w:rPr>
      <w:b/>
      <w:bCs/>
      <w:color w:val="004386" w:themeColor="text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
    <w:qFormat/>
    <w:rsid w:val="007D28D6"/>
    <w:pPr>
      <w:keepLines/>
      <w:bidi/>
      <w:spacing w:before="160"/>
    </w:pPr>
    <w:rPr>
      <w:rFonts w:ascii="Traditional Arabic" w:hAnsi="Traditional Arabic" w:cs="Traditional Arabic"/>
      <w:sz w:val="24"/>
      <w:szCs w:val="28"/>
      <w:lang w:val="en-GB" w:eastAsia="es-ES"/>
    </w:rPr>
  </w:style>
  <w:style w:type="paragraph" w:styleId="Heading1">
    <w:name w:val="heading 1"/>
    <w:aliases w:val="h1"/>
    <w:basedOn w:val="Normal"/>
    <w:next w:val="Normal"/>
    <w:link w:val="Heading1Char"/>
    <w:qFormat/>
    <w:rsid w:val="007D28D6"/>
    <w:pPr>
      <w:keepNext/>
      <w:tabs>
        <w:tab w:val="right" w:pos="9356"/>
      </w:tabs>
      <w:spacing w:before="0"/>
      <w:outlineLvl w:val="0"/>
    </w:pPr>
    <w:rPr>
      <w:rFonts w:eastAsiaTheme="majorEastAsia"/>
      <w:b/>
      <w:bCs/>
      <w:color w:val="004386"/>
      <w:kern w:val="32"/>
      <w:sz w:val="36"/>
      <w:szCs w:val="32"/>
    </w:rPr>
  </w:style>
  <w:style w:type="paragraph" w:styleId="Heading2">
    <w:name w:val="heading 2"/>
    <w:aliases w:val="h2"/>
    <w:basedOn w:val="Heading1"/>
    <w:next w:val="Normal"/>
    <w:link w:val="Heading2Char"/>
    <w:qFormat/>
    <w:rsid w:val="007D28D6"/>
    <w:pPr>
      <w:pBdr>
        <w:bottom w:val="single" w:sz="4" w:space="4" w:color="004386" w:themeColor="text2"/>
      </w:pBdr>
      <w:spacing w:before="80"/>
      <w:outlineLvl w:val="1"/>
    </w:pPr>
    <w:rPr>
      <w:bCs w:val="0"/>
      <w:i/>
      <w:iCs/>
      <w:color w:val="004386" w:themeColor="text2"/>
    </w:rPr>
  </w:style>
  <w:style w:type="paragraph" w:styleId="Heading3">
    <w:name w:val="heading 3"/>
    <w:aliases w:val="h3"/>
    <w:basedOn w:val="Heading2"/>
    <w:next w:val="Normal"/>
    <w:link w:val="Heading3Char"/>
    <w:qFormat/>
    <w:rsid w:val="007D28D6"/>
    <w:pPr>
      <w:pBdr>
        <w:bottom w:val="none" w:sz="0" w:space="0" w:color="auto"/>
      </w:pBdr>
      <w:spacing w:before="320"/>
      <w:outlineLvl w:val="2"/>
    </w:pPr>
    <w:rPr>
      <w:bCs/>
      <w:i w:val="0"/>
      <w:iCs w:val="0"/>
      <w:sz w:val="28"/>
      <w:szCs w:val="36"/>
    </w:rPr>
  </w:style>
  <w:style w:type="paragraph" w:styleId="Heading4">
    <w:name w:val="heading 4"/>
    <w:aliases w:val="h4"/>
    <w:basedOn w:val="Heading3"/>
    <w:next w:val="Normal"/>
    <w:link w:val="Heading4Char"/>
    <w:qFormat/>
    <w:rsid w:val="007D28D6"/>
    <w:pPr>
      <w:spacing w:before="240"/>
      <w:outlineLvl w:val="3"/>
    </w:pPr>
    <w:rPr>
      <w:rFonts w:eastAsia="Traditional Arabic"/>
      <w:szCs w:val="32"/>
    </w:rPr>
  </w:style>
  <w:style w:type="paragraph" w:styleId="Heading5">
    <w:name w:val="heading 5"/>
    <w:basedOn w:val="Normal"/>
    <w:next w:val="Normal"/>
    <w:link w:val="Heading5Char"/>
    <w:qFormat/>
    <w:rsid w:val="007D28D6"/>
    <w:pPr>
      <w:keepNext/>
      <w:spacing w:before="320"/>
      <w:outlineLvl w:val="4"/>
    </w:pPr>
    <w:rPr>
      <w:b/>
      <w:bCs/>
      <w:color w:val="004386" w:themeColor="text2"/>
    </w:rPr>
  </w:style>
  <w:style w:type="paragraph" w:styleId="Heading6">
    <w:name w:val="heading 6"/>
    <w:basedOn w:val="Normal"/>
    <w:next w:val="Normal"/>
    <w:link w:val="Heading6Char"/>
    <w:uiPriority w:val="9"/>
    <w:unhideWhenUsed/>
    <w:qFormat/>
    <w:rsid w:val="007D28D6"/>
    <w:pPr>
      <w:keepNext/>
      <w:spacing w:before="40"/>
      <w:outlineLvl w:val="5"/>
    </w:pPr>
    <w:rPr>
      <w:rFonts w:asciiTheme="majorHAnsi" w:eastAsiaTheme="majorEastAsia" w:hAnsiTheme="majorHAnsi" w:cstheme="majorBidi"/>
      <w:color w:val="2B4902"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7D28D6"/>
    <w:rPr>
      <w:rFonts w:ascii="Traditional Arabic" w:eastAsiaTheme="majorEastAsia" w:hAnsi="Traditional Arabic" w:cs="Traditional Arabic"/>
      <w:b/>
      <w:bCs/>
      <w:color w:val="004386"/>
      <w:kern w:val="32"/>
      <w:sz w:val="36"/>
      <w:szCs w:val="32"/>
      <w:lang w:val="en-GB" w:eastAsia="es-ES"/>
    </w:rPr>
  </w:style>
  <w:style w:type="character" w:customStyle="1" w:styleId="Heading2Char">
    <w:name w:val="Heading 2 Char"/>
    <w:aliases w:val="h2 Char"/>
    <w:basedOn w:val="DefaultParagraphFont"/>
    <w:link w:val="Heading2"/>
    <w:rsid w:val="007D28D6"/>
    <w:rPr>
      <w:rFonts w:ascii="Traditional Arabic" w:eastAsiaTheme="majorEastAsia" w:hAnsi="Traditional Arabic" w:cs="Traditional Arabic"/>
      <w:b/>
      <w:i/>
      <w:iCs/>
      <w:color w:val="004386" w:themeColor="text2"/>
      <w:kern w:val="32"/>
      <w:sz w:val="36"/>
      <w:szCs w:val="32"/>
      <w:lang w:val="en-GB" w:eastAsia="es-ES"/>
    </w:rPr>
  </w:style>
  <w:style w:type="character" w:customStyle="1" w:styleId="Heading3Char">
    <w:name w:val="Heading 3 Char"/>
    <w:aliases w:val="h3 Char"/>
    <w:basedOn w:val="DefaultParagraphFont"/>
    <w:link w:val="Heading3"/>
    <w:rsid w:val="007D28D6"/>
    <w:rPr>
      <w:rFonts w:ascii="Traditional Arabic" w:eastAsiaTheme="majorEastAsia" w:hAnsi="Traditional Arabic" w:cs="Traditional Arabic"/>
      <w:b/>
      <w:bCs/>
      <w:color w:val="004386" w:themeColor="text2"/>
      <w:kern w:val="32"/>
      <w:sz w:val="28"/>
      <w:szCs w:val="36"/>
      <w:lang w:val="en-GB" w:eastAsia="es-ES"/>
    </w:rPr>
  </w:style>
  <w:style w:type="character" w:customStyle="1" w:styleId="Heading4Char">
    <w:name w:val="Heading 4 Char"/>
    <w:aliases w:val="h4 Char"/>
    <w:basedOn w:val="DefaultParagraphFont"/>
    <w:link w:val="Heading4"/>
    <w:rsid w:val="007D28D6"/>
    <w:rPr>
      <w:rFonts w:ascii="Traditional Arabic" w:eastAsia="Traditional Arabic" w:hAnsi="Traditional Arabic" w:cs="Traditional Arabic"/>
      <w:b/>
      <w:bCs/>
      <w:color w:val="004386" w:themeColor="text2"/>
      <w:kern w:val="32"/>
      <w:sz w:val="28"/>
      <w:szCs w:val="32"/>
      <w:lang w:val="en-GB" w:eastAsia="es-ES"/>
    </w:rPr>
  </w:style>
  <w:style w:type="character" w:customStyle="1" w:styleId="Heading5Char">
    <w:name w:val="Heading 5 Char"/>
    <w:basedOn w:val="DefaultParagraphFont"/>
    <w:link w:val="Heading5"/>
    <w:rsid w:val="007D28D6"/>
    <w:rPr>
      <w:rFonts w:ascii="Traditional Arabic" w:hAnsi="Traditional Arabic" w:cs="Traditional Arabic"/>
      <w:b/>
      <w:bCs/>
      <w:color w:val="004386" w:themeColor="text2"/>
      <w:sz w:val="24"/>
      <w:szCs w:val="28"/>
      <w:lang w:val="en-GB" w:eastAsia="es-ES"/>
    </w:rPr>
  </w:style>
  <w:style w:type="paragraph" w:styleId="BalloonText">
    <w:name w:val="Balloon Text"/>
    <w:basedOn w:val="Normal"/>
    <w:link w:val="BalloonTextChar"/>
    <w:uiPriority w:val="99"/>
    <w:semiHidden/>
    <w:unhideWhenUsed/>
    <w:rsid w:val="007D28D6"/>
    <w:pPr>
      <w:spacing w:before="0"/>
    </w:pPr>
    <w:rPr>
      <w:rFonts w:cs="Tahoma"/>
      <w:sz w:val="16"/>
      <w:szCs w:val="16"/>
    </w:rPr>
  </w:style>
  <w:style w:type="character" w:customStyle="1" w:styleId="BalloonTextChar">
    <w:name w:val="Balloon Text Char"/>
    <w:basedOn w:val="DefaultParagraphFont"/>
    <w:link w:val="BalloonText"/>
    <w:uiPriority w:val="99"/>
    <w:semiHidden/>
    <w:rsid w:val="007D28D6"/>
    <w:rPr>
      <w:rFonts w:ascii="Traditional Arabic" w:hAnsi="Traditional Arabic" w:cs="Tahoma"/>
      <w:sz w:val="16"/>
      <w:szCs w:val="16"/>
      <w:lang w:val="en-GB" w:eastAsia="es-ES"/>
    </w:rPr>
  </w:style>
  <w:style w:type="paragraph" w:customStyle="1" w:styleId="bullet">
    <w:name w:val="bullet"/>
    <w:aliases w:val="b"/>
    <w:basedOn w:val="Normal"/>
    <w:qFormat/>
    <w:rsid w:val="007D28D6"/>
    <w:pPr>
      <w:spacing w:before="80"/>
      <w:ind w:left="284" w:hanging="284"/>
    </w:pPr>
  </w:style>
  <w:style w:type="paragraph" w:styleId="Caption">
    <w:name w:val="caption"/>
    <w:basedOn w:val="Normal"/>
    <w:next w:val="Normal"/>
    <w:uiPriority w:val="35"/>
    <w:semiHidden/>
    <w:qFormat/>
    <w:rsid w:val="007D28D6"/>
    <w:pPr>
      <w:spacing w:before="0" w:after="200"/>
    </w:pPr>
    <w:rPr>
      <w:rFonts w:eastAsiaTheme="minorHAnsi" w:cstheme="minorBidi"/>
      <w:b/>
      <w:color w:val="579305" w:themeColor="accent1"/>
      <w:sz w:val="18"/>
      <w:szCs w:val="18"/>
      <w:lang w:eastAsia="en-US"/>
    </w:rPr>
  </w:style>
  <w:style w:type="character" w:styleId="CommentReference">
    <w:name w:val="annotation reference"/>
    <w:basedOn w:val="DefaultParagraphFont"/>
    <w:uiPriority w:val="99"/>
    <w:semiHidden/>
    <w:unhideWhenUsed/>
    <w:rsid w:val="007D28D6"/>
    <w:rPr>
      <w:sz w:val="16"/>
      <w:szCs w:val="16"/>
    </w:rPr>
  </w:style>
  <w:style w:type="paragraph" w:styleId="CommentText">
    <w:name w:val="annotation text"/>
    <w:basedOn w:val="Normal"/>
    <w:link w:val="CommentTextChar"/>
    <w:uiPriority w:val="99"/>
    <w:semiHidden/>
    <w:unhideWhenUsed/>
    <w:rsid w:val="007D28D6"/>
    <w:rPr>
      <w:szCs w:val="20"/>
    </w:rPr>
  </w:style>
  <w:style w:type="character" w:customStyle="1" w:styleId="CommentTextChar">
    <w:name w:val="Comment Text Char"/>
    <w:basedOn w:val="DefaultParagraphFont"/>
    <w:link w:val="CommentText"/>
    <w:uiPriority w:val="99"/>
    <w:semiHidden/>
    <w:rsid w:val="007D28D6"/>
    <w:rPr>
      <w:rFonts w:ascii="Traditional Arabic" w:hAnsi="Traditional Arabic" w:cs="Traditional Arabic"/>
      <w:sz w:val="24"/>
      <w:lang w:val="en-GB" w:eastAsia="es-ES"/>
    </w:rPr>
  </w:style>
  <w:style w:type="paragraph" w:styleId="CommentSubject">
    <w:name w:val="annotation subject"/>
    <w:basedOn w:val="CommentText"/>
    <w:next w:val="CommentText"/>
    <w:link w:val="CommentSubjectChar"/>
    <w:uiPriority w:val="99"/>
    <w:semiHidden/>
    <w:unhideWhenUsed/>
    <w:rsid w:val="007D28D6"/>
    <w:rPr>
      <w:b/>
    </w:rPr>
  </w:style>
  <w:style w:type="character" w:customStyle="1" w:styleId="CommentSubjectChar">
    <w:name w:val="Comment Subject Char"/>
    <w:basedOn w:val="CommentTextChar"/>
    <w:link w:val="CommentSubject"/>
    <w:uiPriority w:val="99"/>
    <w:semiHidden/>
    <w:rsid w:val="007D28D6"/>
    <w:rPr>
      <w:rFonts w:ascii="Traditional Arabic" w:hAnsi="Traditional Arabic" w:cs="Traditional Arabic"/>
      <w:b/>
      <w:sz w:val="24"/>
      <w:lang w:val="en-GB" w:eastAsia="es-ES"/>
    </w:rPr>
  </w:style>
  <w:style w:type="character" w:styleId="Emphasis">
    <w:name w:val="Emphasis"/>
    <w:uiPriority w:val="99"/>
    <w:qFormat/>
    <w:rsid w:val="007D28D6"/>
    <w:rPr>
      <w:b/>
      <w:i w:val="0"/>
      <w:iCs/>
    </w:rPr>
  </w:style>
  <w:style w:type="character" w:styleId="FollowedHyperlink">
    <w:name w:val="FollowedHyperlink"/>
    <w:basedOn w:val="DefaultParagraphFont"/>
    <w:uiPriority w:val="99"/>
    <w:semiHidden/>
    <w:unhideWhenUsed/>
    <w:rsid w:val="007D28D6"/>
    <w:rPr>
      <w:color w:val="004386"/>
      <w:u w:val="single"/>
    </w:rPr>
  </w:style>
  <w:style w:type="paragraph" w:styleId="Footer">
    <w:name w:val="footer"/>
    <w:basedOn w:val="Normal"/>
    <w:link w:val="FooterChar"/>
    <w:rsid w:val="007D28D6"/>
    <w:pPr>
      <w:pBdr>
        <w:top w:val="single" w:sz="4" w:space="4" w:color="004386" w:themeColor="text2"/>
      </w:pBdr>
      <w:tabs>
        <w:tab w:val="right" w:pos="9356"/>
      </w:tabs>
      <w:spacing w:before="0"/>
    </w:pPr>
    <w:rPr>
      <w:color w:val="004386" w:themeColor="text2"/>
    </w:rPr>
  </w:style>
  <w:style w:type="character" w:customStyle="1" w:styleId="FooterChar">
    <w:name w:val="Footer Char"/>
    <w:basedOn w:val="DefaultParagraphFont"/>
    <w:link w:val="Footer"/>
    <w:rsid w:val="007D28D6"/>
    <w:rPr>
      <w:rFonts w:ascii="Traditional Arabic" w:hAnsi="Traditional Arabic" w:cs="Traditional Arabic"/>
      <w:color w:val="004386" w:themeColor="text2"/>
      <w:sz w:val="24"/>
      <w:szCs w:val="28"/>
      <w:lang w:val="en-GB" w:eastAsia="es-ES"/>
    </w:rPr>
  </w:style>
  <w:style w:type="character" w:styleId="FootnoteReference">
    <w:name w:val="footnote reference"/>
    <w:basedOn w:val="DefaultParagraphFont"/>
    <w:rsid w:val="007D28D6"/>
    <w:rPr>
      <w:vertAlign w:val="superscript"/>
    </w:rPr>
  </w:style>
  <w:style w:type="paragraph" w:styleId="FootnoteText">
    <w:name w:val="footnote text"/>
    <w:basedOn w:val="Normal"/>
    <w:link w:val="FootnoteTextChar"/>
    <w:rsid w:val="007D28D6"/>
    <w:pPr>
      <w:spacing w:before="0"/>
    </w:pPr>
    <w:rPr>
      <w:sz w:val="20"/>
      <w:szCs w:val="20"/>
    </w:rPr>
  </w:style>
  <w:style w:type="character" w:customStyle="1" w:styleId="FootnoteTextChar">
    <w:name w:val="Footnote Text Char"/>
    <w:basedOn w:val="DefaultParagraphFont"/>
    <w:link w:val="FootnoteText"/>
    <w:rsid w:val="007D28D6"/>
    <w:rPr>
      <w:rFonts w:ascii="Traditional Arabic" w:hAnsi="Traditional Arabic" w:cs="Traditional Arabic"/>
      <w:lang w:val="en-GB" w:eastAsia="es-ES"/>
    </w:rPr>
  </w:style>
  <w:style w:type="paragraph" w:styleId="Header">
    <w:name w:val="header"/>
    <w:basedOn w:val="Normal"/>
    <w:link w:val="HeaderChar"/>
    <w:rsid w:val="007D28D6"/>
    <w:pPr>
      <w:pBdr>
        <w:bottom w:val="single" w:sz="4" w:space="4" w:color="004386" w:themeColor="text2"/>
      </w:pBdr>
      <w:tabs>
        <w:tab w:val="center" w:pos="4320"/>
        <w:tab w:val="right" w:pos="8640"/>
      </w:tabs>
      <w:spacing w:before="0"/>
    </w:pPr>
    <w:rPr>
      <w:b/>
      <w:bCs/>
      <w:color w:val="579305" w:themeColor="accent1"/>
      <w:sz w:val="28"/>
      <w:lang w:val="fr-FR" w:eastAsia="en-US" w:bidi="ar-TN"/>
    </w:rPr>
  </w:style>
  <w:style w:type="character" w:customStyle="1" w:styleId="HeaderChar">
    <w:name w:val="Header Char"/>
    <w:basedOn w:val="DefaultParagraphFont"/>
    <w:link w:val="Header"/>
    <w:rsid w:val="007D28D6"/>
    <w:rPr>
      <w:rFonts w:ascii="Traditional Arabic" w:hAnsi="Traditional Arabic" w:cs="Traditional Arabic"/>
      <w:b/>
      <w:bCs/>
      <w:color w:val="579305" w:themeColor="accent1"/>
      <w:sz w:val="28"/>
      <w:szCs w:val="28"/>
      <w:lang w:bidi="ar-TN"/>
    </w:rPr>
  </w:style>
  <w:style w:type="character" w:customStyle="1" w:styleId="Heading6Char">
    <w:name w:val="Heading 6 Char"/>
    <w:basedOn w:val="DefaultParagraphFont"/>
    <w:link w:val="Heading6"/>
    <w:uiPriority w:val="9"/>
    <w:rsid w:val="007D28D6"/>
    <w:rPr>
      <w:rFonts w:asciiTheme="majorHAnsi" w:eastAsiaTheme="majorEastAsia" w:hAnsiTheme="majorHAnsi" w:cstheme="majorBidi"/>
      <w:color w:val="2B4902" w:themeColor="accent1" w:themeShade="7F"/>
      <w:sz w:val="24"/>
      <w:szCs w:val="28"/>
      <w:lang w:val="en-GB" w:eastAsia="es-ES"/>
    </w:rPr>
  </w:style>
  <w:style w:type="character" w:styleId="Hyperlink">
    <w:name w:val="Hyperlink"/>
    <w:basedOn w:val="DefaultParagraphFont"/>
    <w:rsid w:val="007D28D6"/>
    <w:rPr>
      <w:color w:val="004386" w:themeColor="hyperlink"/>
      <w:u w:val="single" w:color="004386" w:themeColor="text2"/>
    </w:rPr>
  </w:style>
  <w:style w:type="paragraph" w:customStyle="1" w:styleId="table">
    <w:name w:val="table"/>
    <w:aliases w:val="t"/>
    <w:basedOn w:val="Normal"/>
    <w:qFormat/>
    <w:rsid w:val="002A2449"/>
    <w:pPr>
      <w:spacing w:after="40" w:line="216" w:lineRule="auto"/>
    </w:pPr>
    <w:rPr>
      <w:sz w:val="22"/>
    </w:rPr>
  </w:style>
  <w:style w:type="paragraph" w:customStyle="1" w:styleId="Latinurl">
    <w:name w:val="Latin url"/>
    <w:basedOn w:val="table"/>
    <w:qFormat/>
    <w:rsid w:val="007D28D6"/>
    <w:rPr>
      <w:rFonts w:ascii="Calibri" w:hAnsi="Calibri"/>
      <w:szCs w:val="22"/>
    </w:rPr>
  </w:style>
  <w:style w:type="paragraph" w:styleId="ListParagraph">
    <w:name w:val="List Paragraph"/>
    <w:basedOn w:val="Normal"/>
    <w:uiPriority w:val="34"/>
    <w:qFormat/>
    <w:rsid w:val="007D28D6"/>
    <w:pPr>
      <w:ind w:left="720"/>
      <w:contextualSpacing/>
    </w:pPr>
  </w:style>
  <w:style w:type="paragraph" w:customStyle="1" w:styleId="Moduledescription">
    <w:name w:val="Module description"/>
    <w:basedOn w:val="Normal"/>
    <w:qFormat/>
    <w:rsid w:val="007D28D6"/>
    <w:rPr>
      <w:b/>
      <w:bCs/>
      <w:color w:val="579305" w:themeColor="accent1"/>
    </w:rPr>
  </w:style>
  <w:style w:type="character" w:styleId="PageNumber">
    <w:name w:val="page number"/>
    <w:basedOn w:val="DefaultParagraphFont"/>
    <w:uiPriority w:val="99"/>
    <w:semiHidden/>
    <w:unhideWhenUsed/>
    <w:rsid w:val="007D28D6"/>
    <w:rPr>
      <w:rFonts w:asciiTheme="minorHAnsi" w:hAnsiTheme="minorHAnsi"/>
    </w:rPr>
  </w:style>
  <w:style w:type="paragraph" w:customStyle="1" w:styleId="tablebullet">
    <w:name w:val="table bullet"/>
    <w:basedOn w:val="table"/>
    <w:qFormat/>
    <w:rsid w:val="007D28D6"/>
    <w:pPr>
      <w:spacing w:after="0"/>
    </w:pPr>
  </w:style>
  <w:style w:type="table" w:styleId="TableGrid">
    <w:name w:val="Table Grid"/>
    <w:basedOn w:val="TableNormal"/>
    <w:uiPriority w:val="59"/>
    <w:rsid w:val="007D28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aliases w:val="th"/>
    <w:basedOn w:val="table"/>
    <w:qFormat/>
    <w:rsid w:val="002A2449"/>
    <w:rPr>
      <w:b/>
      <w:bCs/>
      <w:color w:val="004386" w:themeColor="text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Sphere Arabic theme">
  <a:themeElements>
    <a:clrScheme name="Sphere Arabic">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Sphere Arabic">
      <a:majorFont>
        <a:latin typeface="Traditional Arabic"/>
        <a:ea typeface=""/>
        <a:cs typeface="Traditional Arabic"/>
      </a:majorFont>
      <a:minorFont>
        <a:latin typeface="Traditional Arabic"/>
        <a:ea typeface=""/>
        <a:cs typeface="Traditional Arabic"/>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xmlns="" name="Sphere Arabic theme" id="{DFEDC460-151B-473B-8E2A-FB5C82895DBF}" vid="{2DAC1FF5-906F-45A3-8387-16476CB61BC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A6C751-9AD2-4104-B317-FC74DA9C4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831</Words>
  <Characters>4572</Characters>
  <Application>Microsoft Office Word</Application>
  <DocSecurity>0</DocSecurity>
  <Lines>38</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LinksUpToDate>false</LinksUpToDate>
  <CharactersWithSpaces>5393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2015-03-24T19:30:00Z</cp:lastPrinted>
  <dcterms:created xsi:type="dcterms:W3CDTF">2015-05-18T10:47:00Z</dcterms:created>
  <dcterms:modified xsi:type="dcterms:W3CDTF">2015-05-25T15:11:00Z</dcterms:modified>
</cp:coreProperties>
</file>